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5E4" w:rsidRDefault="00AD65E4" w:rsidP="00AD65E4">
      <w:pPr>
        <w:pStyle w:val="ParagraphStyle"/>
        <w:spacing w:line="315" w:lineRule="atLeast"/>
        <w:jc w:val="center"/>
        <w:rPr>
          <w:rFonts w:ascii="Century Gothic" w:hAnsi="Century Gothic" w:cs="Century Gothic"/>
          <w:b/>
          <w:bCs/>
          <w:color w:val="595959"/>
        </w:rPr>
      </w:pPr>
    </w:p>
    <w:p w:rsidR="00AD65E4" w:rsidRDefault="00AD65E4" w:rsidP="00AD65E4">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AD65E4" w:rsidRDefault="00AD65E4" w:rsidP="00AD65E4">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AD65E4" w:rsidRDefault="00AD65E4" w:rsidP="00AD65E4">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32/2022</w:t>
      </w:r>
    </w:p>
    <w:p w:rsidR="00AD65E4" w:rsidRDefault="00AD65E4" w:rsidP="00AD65E4">
      <w:pPr>
        <w:pStyle w:val="ParagraphStyle"/>
        <w:spacing w:line="315" w:lineRule="atLeast"/>
        <w:jc w:val="center"/>
        <w:rPr>
          <w:rFonts w:ascii="Century Gothic" w:hAnsi="Century Gothic" w:cs="Century Gothic"/>
          <w:b/>
          <w:bCs/>
          <w:color w:val="595959"/>
        </w:rPr>
      </w:pPr>
    </w:p>
    <w:p w:rsidR="00AD65E4" w:rsidRDefault="00AD65E4" w:rsidP="00AD65E4">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58/2022</w:t>
      </w:r>
    </w:p>
    <w:p w:rsidR="00AD65E4" w:rsidRDefault="00AD65E4" w:rsidP="00AD65E4">
      <w:pPr>
        <w:pStyle w:val="ParagraphStyle"/>
        <w:spacing w:line="315" w:lineRule="atLeast"/>
        <w:jc w:val="center"/>
        <w:rPr>
          <w:rFonts w:ascii="Century Gothic" w:hAnsi="Century Gothic" w:cs="Century Gothic"/>
          <w:b/>
          <w:bCs/>
          <w:color w:val="595959"/>
        </w:rPr>
      </w:pPr>
    </w:p>
    <w:p w:rsidR="00AD65E4" w:rsidRDefault="00AD65E4" w:rsidP="00AD65E4">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130/2022</w:t>
      </w:r>
    </w:p>
    <w:p w:rsidR="00AD65E4" w:rsidRDefault="00AD65E4" w:rsidP="00AD65E4">
      <w:pPr>
        <w:pStyle w:val="ParagraphStyle"/>
        <w:spacing w:line="315" w:lineRule="atLeast"/>
        <w:rPr>
          <w:rFonts w:ascii="Century Gothic" w:hAnsi="Century Gothic" w:cs="Century Gothic"/>
          <w:b/>
          <w:bCs/>
          <w:color w:val="595959"/>
        </w:rPr>
      </w:pP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p>
    <w:p w:rsidR="00AD65E4" w:rsidRDefault="00AD65E4" w:rsidP="00AD65E4">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EFERSON LUCIANO FERREIRA DE ALMEIDA ME</w:t>
      </w:r>
      <w:r>
        <w:rPr>
          <w:rFonts w:ascii="Century Gothic" w:hAnsi="Century Gothic" w:cs="Century Gothic"/>
          <w:color w:val="595959"/>
          <w:sz w:val="22"/>
          <w:szCs w:val="22"/>
        </w:rPr>
        <w:t xml:space="preserve">, pessoa jurídica de direito privado com endereço à AVENIDA MAXIMILIANO VICENTIN, 1282 frente a igreja </w:t>
      </w:r>
      <w:proofErr w:type="spellStart"/>
      <w:r>
        <w:rPr>
          <w:rFonts w:ascii="Century Gothic" w:hAnsi="Century Gothic" w:cs="Century Gothic"/>
          <w:color w:val="595959"/>
          <w:sz w:val="22"/>
          <w:szCs w:val="22"/>
        </w:rPr>
        <w:t>matrix</w:t>
      </w:r>
      <w:proofErr w:type="spellEnd"/>
      <w:r>
        <w:rPr>
          <w:rFonts w:ascii="Century Gothic" w:hAnsi="Century Gothic" w:cs="Century Gothic"/>
          <w:color w:val="595959"/>
          <w:sz w:val="22"/>
          <w:szCs w:val="22"/>
        </w:rPr>
        <w:t xml:space="preserve"> - CEP: 85270000 - BAIRRO: CENTRO </w:t>
      </w:r>
      <w:r>
        <w:rPr>
          <w:color w:val="4D4D4D"/>
          <w:sz w:val="22"/>
          <w:szCs w:val="22"/>
        </w:rPr>
        <w:t>Palmital/PR</w:t>
      </w:r>
      <w:r>
        <w:rPr>
          <w:rFonts w:ascii="Century Gothic" w:hAnsi="Century Gothic" w:cs="Century Gothic"/>
          <w:color w:val="595959"/>
          <w:sz w:val="22"/>
          <w:szCs w:val="22"/>
        </w:rPr>
        <w:t xml:space="preserve">, inscrita no CNPJ/MF sob 02.694.444/0001-08, neste ato representada por seu (sua) representante Legal, Senhor (a)EFERSON LUCIANO FERREIRA DE ALMEIDA, portador do RG 5.884.981-2  e inscrito no CPF/MF sob o nº 825.669.769-53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32/2022, pelos termos da proposta da CONTRATADA datada de 03/05/2022 e pelas cláusulas a seguir expressas, definidoras dos direitos, obrigações e responsabilidades das partes.</w:t>
      </w: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p>
    <w:p w:rsidR="00AD65E4" w:rsidRDefault="00AD65E4" w:rsidP="00AD65E4">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AQUISIÇÃO DE CESTAS BASICA, HAJA VISTA QUE SERÃO ENTREGUES  CONFORME CRITÉRIOS DA LEI MUNICIPAL DE BENEFICIOS EVENTUAIS, PARA SUPRIR AS NECESSIDADES DA SECRETARIA MUNICIPAL DE ASSISTENCIA SOCIAL DO MUNICIPIO DE PALMITAL -PR..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32/2022 parte integrante deste, independente de transcrição, conforme segue:</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p>
    <w:tbl>
      <w:tblPr>
        <w:tblW w:w="5155" w:type="pct"/>
        <w:tblInd w:w="15" w:type="dxa"/>
        <w:tblLayout w:type="fixed"/>
        <w:tblCellMar>
          <w:top w:w="15" w:type="dxa"/>
          <w:left w:w="15" w:type="dxa"/>
          <w:bottom w:w="15" w:type="dxa"/>
          <w:right w:w="15" w:type="dxa"/>
        </w:tblCellMar>
        <w:tblLook w:val="0000"/>
      </w:tblPr>
      <w:tblGrid>
        <w:gridCol w:w="1562"/>
        <w:gridCol w:w="438"/>
        <w:gridCol w:w="736"/>
        <w:gridCol w:w="3502"/>
        <w:gridCol w:w="695"/>
        <w:gridCol w:w="532"/>
        <w:gridCol w:w="870"/>
        <w:gridCol w:w="614"/>
        <w:gridCol w:w="1019"/>
      </w:tblGrid>
      <w:tr w:rsidR="00AD65E4" w:rsidRPr="00AD65E4" w:rsidTr="00AD65E4">
        <w:tc>
          <w:tcPr>
            <w:tcW w:w="9967" w:type="dxa"/>
            <w:gridSpan w:val="9"/>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lastRenderedPageBreak/>
              <w:t>ITENS</w:t>
            </w:r>
          </w:p>
        </w:tc>
      </w:tr>
      <w:tr w:rsidR="00AD65E4" w:rsidRPr="00AD65E4" w:rsidTr="00AD65E4">
        <w:tc>
          <w:tcPr>
            <w:tcW w:w="1561"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Lote</w:t>
            </w:r>
          </w:p>
        </w:tc>
        <w:tc>
          <w:tcPr>
            <w:tcW w:w="438"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Item</w:t>
            </w:r>
          </w:p>
        </w:tc>
        <w:tc>
          <w:tcPr>
            <w:tcW w:w="736"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Código do produto/serviço</w:t>
            </w:r>
          </w:p>
        </w:tc>
        <w:tc>
          <w:tcPr>
            <w:tcW w:w="3502"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Descrição do produto/serviço</w:t>
            </w:r>
          </w:p>
        </w:tc>
        <w:tc>
          <w:tcPr>
            <w:tcW w:w="695"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Marca do produto</w:t>
            </w:r>
          </w:p>
        </w:tc>
        <w:tc>
          <w:tcPr>
            <w:tcW w:w="532"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Unidade de medida</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Quantidade</w:t>
            </w:r>
          </w:p>
        </w:tc>
        <w:tc>
          <w:tcPr>
            <w:tcW w:w="614"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Preço unitário</w:t>
            </w:r>
          </w:p>
        </w:tc>
        <w:tc>
          <w:tcPr>
            <w:tcW w:w="1019" w:type="dxa"/>
            <w:tcBorders>
              <w:top w:val="single" w:sz="6" w:space="0" w:color="000000"/>
              <w:left w:val="single" w:sz="6" w:space="0" w:color="000000"/>
              <w:bottom w:val="single" w:sz="6" w:space="0" w:color="000000"/>
              <w:right w:val="single" w:sz="6" w:space="0" w:color="000000"/>
            </w:tcBorders>
            <w:shd w:val="clear" w:color="auto" w:fill="C0C0C0"/>
          </w:tcPr>
          <w:p w:rsidR="00AD65E4" w:rsidRPr="00AD65E4" w:rsidRDefault="00AD65E4">
            <w:pPr>
              <w:pStyle w:val="ParagraphStyle"/>
              <w:rPr>
                <w:sz w:val="14"/>
                <w:szCs w:val="16"/>
              </w:rPr>
            </w:pPr>
            <w:r w:rsidRPr="00AD65E4">
              <w:rPr>
                <w:sz w:val="14"/>
                <w:szCs w:val="16"/>
              </w:rPr>
              <w:t>Preço total</w:t>
            </w:r>
          </w:p>
        </w:tc>
      </w:tr>
      <w:tr w:rsidR="00AD65E4" w:rsidRPr="00AD65E4" w:rsidTr="00AD65E4">
        <w:tc>
          <w:tcPr>
            <w:tcW w:w="1561"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LOTE: 001 - Lote 001</w:t>
            </w:r>
          </w:p>
        </w:tc>
        <w:tc>
          <w:tcPr>
            <w:tcW w:w="438"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1</w:t>
            </w:r>
          </w:p>
        </w:tc>
        <w:tc>
          <w:tcPr>
            <w:tcW w:w="736"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34455</w:t>
            </w:r>
          </w:p>
        </w:tc>
        <w:tc>
          <w:tcPr>
            <w:tcW w:w="3502"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CESTA BASICA  (QUANTIDADE – 01 / UND- KG )  FRANGO INTEIRO CONGELADO COM MIÚDOS, (CONTENDO PÉ, CABEÇA, PESCOÇO, FÍGADO E MOELA). SENDO TOLERADA A VARIAÇÃO DE ATÉ 8% NO PESO LIQUIDO DO PRODUTO DESCONGELADO EM RELAÇÃO AO PESO CONGELADO.  (PESO: 2,5 kg a 3 kg)</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FARINHA DE TRIGO ESPECIAL: ENRIQUECIDA COM FERRO E ÁCIDO FÓLICO, SEM FERMENTO - EMBALAGENS DE 05 KG, DE PAPEL RESISTENTE, COM SOLDA REFORÇADA E ÍNTEGRA QUE CONTENHAM DATA DE FABRICAÇÃO E VALIDADE - PRODUTO COM NO MÍNIMO 06 MESES DE VALIDADE.</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ARROZ AGULHA TIPO 1, POLIDO, CLASSE LONGO: EMBALAGEM PLÁSTICA DE 05 KG. RÓTULO DE ACORDO COM A LEGISLAÇÃO VIGENTE E COM A ESPECIFICAÇÃO DE QUE NÃO PRECISA LAVAR NEM ESCOLHER, COM VALIDADE MÍNIMA DE 60 DIAS DE VENCIMENTO.</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AÇUCAR CRISTAL BRANCO: EM EMBALAGEM PLÁSTICA DE 05 KG: PRODUTO COM NO MÍNIMO 06 MESES DE VALIDADE.</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02 UND)  FEIJÃO PRETO TIPO 1, NOVO, MAQUINADO, EMBALAGEM PLÁSTICA DE 01 KG: RÓTULO DE ACORDO COM A LEGISLAÇÃO VIGENTE, COM VALIDADE MÍNIMA DE 60 DIAS DE VENCIMENTO.</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02 UND) ÓLEO DE SOJA- GARRAFA PET CONTENDO 900ML SEM AMASSOS, VAZAMENTO E COM VALIDADE MÍNIMA DE 60 DIAS DE VENCIMENTO.</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 SAL REFINADO IODADO, EMBALAGEM DE 1KG: COM VALIDADE MÍNIMA DE 60 DIAS DE VENCIMENTO.</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MASSA COM OVOS, "PARAFUSO" OU "ESPAGUETE": PACOTES DE 500G CONTENDO ESPECIFICAÇÃO NA EMBALAGEM REFERENTE ÁS INFORMAÇÕES NA EMBALAGEM REFERENTE ÁS INFORMAÇÕES NUTRICIONAIS.</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02 UND) FARINHA DE MILHO 1 KG COM VALIDADE MÍNIMA DE 60 DIAS DE VENCIMENTO.</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BISCOITO TIPO ÁGUA E SAL BISCOITO SALGADO TIPO "CREAM CRACKERS" COM EMBALAGEM DUPLA PROTEÇÃO OU PROTETORES INTERNOS MÍNIMO DE 360</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CHÁ MATE TOSTADO COM NO MÍNIMO 24G, CONTENDO 15 (QUINZE) SACHÊS ENVELOPADOS INDIVIDUALMENTE. SABOR CHÁ ERVA MATE TOSTADA. O PRAZO DE VALIDADE, QUE DEVE ESTAR EXPRESSO CLARAMENTE NA EMBALAGEM DO PRODUTO, DEVERÁ SER DE, NO MÍNIMO, 01 (UM) ANO A CONTAR DE ENTREGA.</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 UND) SABÃO EM BARRA, ASPECTO FÍSICO SÓLIDO, NEUTRO, GLICERINADO. PACOTE COM 05 BARRAS DE 200G CADA.</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 xml:space="preserve">(QUANTIDADE – 01UND)  LEITE EM PÓ INTEGRAL INSTANTÂNEO PACOTE 400G: EMBALAGENS ÍNTEGRAS, QUE CONTENHAM DATA DE VALIDADE </w:t>
            </w:r>
            <w:r w:rsidRPr="00AD65E4">
              <w:rPr>
                <w:sz w:val="14"/>
                <w:szCs w:val="16"/>
              </w:rPr>
              <w:lastRenderedPageBreak/>
              <w:t>DE NO MÍNIMO DE 60 DIAS.</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(QUANTIDADE – 01UND)  CAFÉ TORRADO E MOÍDO, TIPO TRADICIONAL, EMBALAGEM DE 500 G CADA- COM VALIDADE MÍNIMA DE 60 DIAS DE VENCIMENTO.</w:t>
            </w:r>
          </w:p>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 xml:space="preserve">(QUANTIDADE – 01 UND)  DOCE DE FRUTAS - SABORES: MORANGO, UVA, PÊSSEGO, BANANA, MAÇÃ OU ABÓBORA. EMBALAGEM: POTE PLÁSTICO EM POLIETILENO, TRANSPARENTE, ATÓXICO, ÍNTEGRO, COM TAMPA E LACRE DE PROTEÇÃO, CONTENDO 400G, COM VALIDADE MÍNIMA DE 60 DIAS DE VENCIMENTO. </w:t>
            </w:r>
          </w:p>
        </w:tc>
        <w:tc>
          <w:tcPr>
            <w:tcW w:w="695"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lastRenderedPageBreak/>
              <w:t>CESTA BASICA</w:t>
            </w:r>
          </w:p>
        </w:tc>
        <w:tc>
          <w:tcPr>
            <w:tcW w:w="532"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UND</w:t>
            </w:r>
          </w:p>
        </w:tc>
        <w:tc>
          <w:tcPr>
            <w:tcW w:w="870"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1.000,00</w:t>
            </w:r>
          </w:p>
        </w:tc>
        <w:tc>
          <w:tcPr>
            <w:tcW w:w="614"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210,00</w:t>
            </w:r>
          </w:p>
        </w:tc>
        <w:tc>
          <w:tcPr>
            <w:tcW w:w="1019"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r w:rsidRPr="00AD65E4">
              <w:rPr>
                <w:sz w:val="14"/>
                <w:szCs w:val="16"/>
              </w:rPr>
              <w:t>210.000,00</w:t>
            </w:r>
          </w:p>
        </w:tc>
      </w:tr>
      <w:tr w:rsidR="00AD65E4" w:rsidRPr="00AD65E4" w:rsidTr="00AD65E4">
        <w:tc>
          <w:tcPr>
            <w:tcW w:w="8948" w:type="dxa"/>
            <w:gridSpan w:val="8"/>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TOTAL</w:t>
            </w:r>
          </w:p>
        </w:tc>
        <w:tc>
          <w:tcPr>
            <w:tcW w:w="1019" w:type="dxa"/>
            <w:tcBorders>
              <w:top w:val="single" w:sz="6" w:space="0" w:color="000000"/>
              <w:left w:val="single" w:sz="6" w:space="0" w:color="000000"/>
              <w:bottom w:val="single" w:sz="6" w:space="0" w:color="000000"/>
              <w:right w:val="single" w:sz="6" w:space="0" w:color="000000"/>
            </w:tcBorders>
          </w:tcPr>
          <w:p w:rsidR="00AD65E4" w:rsidRPr="00AD65E4" w:rsidRDefault="00AD65E4">
            <w:pPr>
              <w:pStyle w:val="ParagraphStyle"/>
              <w:rPr>
                <w:sz w:val="14"/>
                <w:szCs w:val="16"/>
              </w:rPr>
            </w:pPr>
          </w:p>
          <w:p w:rsidR="00AD65E4" w:rsidRPr="00AD65E4" w:rsidRDefault="00AD65E4">
            <w:pPr>
              <w:pStyle w:val="ParagraphStyle"/>
              <w:rPr>
                <w:sz w:val="14"/>
                <w:szCs w:val="16"/>
              </w:rPr>
            </w:pPr>
            <w:r w:rsidRPr="00AD65E4">
              <w:rPr>
                <w:sz w:val="14"/>
                <w:szCs w:val="16"/>
              </w:rPr>
              <w:t>210.000,00</w:t>
            </w:r>
          </w:p>
        </w:tc>
      </w:tr>
    </w:tbl>
    <w:p w:rsidR="00AD65E4" w:rsidRDefault="00AD65E4" w:rsidP="00AD65E4">
      <w:pPr>
        <w:pStyle w:val="ParagraphStyle"/>
        <w:spacing w:line="315" w:lineRule="atLeast"/>
        <w:ind w:hanging="15"/>
        <w:jc w:val="both"/>
        <w:rPr>
          <w:rFonts w:ascii="Century Gothic" w:hAnsi="Century Gothic" w:cs="Century Gothic"/>
          <w:b/>
          <w:bCs/>
          <w:color w:val="595959"/>
          <w:sz w:val="22"/>
          <w:szCs w:val="22"/>
        </w:rPr>
      </w:pPr>
    </w:p>
    <w:p w:rsidR="00AD65E4" w:rsidRDefault="00AD65E4" w:rsidP="00AD65E4">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R$210.000,00 (Duzentos e Dez Mil Reais).</w:t>
      </w:r>
    </w:p>
    <w:p w:rsidR="00AD65E4" w:rsidRDefault="00AD65E4" w:rsidP="00AD65E4">
      <w:pPr>
        <w:pStyle w:val="ParagraphStyle"/>
        <w:spacing w:line="315" w:lineRule="atLeast"/>
        <w:jc w:val="both"/>
        <w:outlineLvl w:val="7"/>
        <w:rPr>
          <w:rFonts w:ascii="Century Gothic" w:hAnsi="Century Gothic" w:cs="Century Gothic"/>
          <w:b/>
          <w:bCs/>
          <w:color w:val="595959"/>
          <w:sz w:val="22"/>
          <w:szCs w:val="22"/>
        </w:rPr>
      </w:pPr>
    </w:p>
    <w:p w:rsidR="00AD65E4" w:rsidRDefault="00AD65E4" w:rsidP="00AD65E4">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AD65E4" w:rsidRDefault="00AD65E4" w:rsidP="00AD65E4">
      <w:pPr>
        <w:pStyle w:val="ParagraphStyle"/>
        <w:spacing w:line="315" w:lineRule="atLeast"/>
        <w:jc w:val="both"/>
        <w:outlineLvl w:val="7"/>
        <w:rPr>
          <w:rFonts w:ascii="Century Gothic" w:hAnsi="Century Gothic" w:cs="Century Gothic"/>
          <w:b/>
          <w:bCs/>
          <w:color w:val="595959"/>
          <w:sz w:val="22"/>
          <w:szCs w:val="22"/>
        </w:rPr>
      </w:pP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32/2022 e seus Anexos, Proposta de Preços Escrita, de cujo inteiro teor as partes declaram ter conhecimento e aceitam.</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32/2022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AD65E4" w:rsidRDefault="00AD65E4" w:rsidP="00AD65E4">
      <w:pPr>
        <w:pStyle w:val="ParagraphStyle"/>
        <w:spacing w:line="315" w:lineRule="atLeast"/>
        <w:jc w:val="both"/>
        <w:outlineLvl w:val="7"/>
        <w:rPr>
          <w:rFonts w:ascii="Century Gothic" w:hAnsi="Century Gothic" w:cs="Century Gothic"/>
          <w:b/>
          <w:bCs/>
          <w:color w:val="595959"/>
          <w:sz w:val="22"/>
          <w:szCs w:val="22"/>
        </w:rPr>
      </w:pPr>
    </w:p>
    <w:p w:rsidR="00AD65E4" w:rsidRDefault="00AD65E4" w:rsidP="00AD65E4">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AD65E4" w:rsidRDefault="00AD65E4" w:rsidP="00AD65E4">
      <w:pPr>
        <w:pStyle w:val="ParagraphStyle"/>
        <w:spacing w:after="195" w:line="315" w:lineRule="atLeast"/>
        <w:rPr>
          <w:rFonts w:ascii="Century Gothic" w:hAnsi="Century Gothic" w:cs="Century Gothic"/>
          <w:color w:val="595959"/>
          <w:sz w:val="22"/>
          <w:szCs w:val="22"/>
        </w:rPr>
      </w:pP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32/2022 e às cláusulas expressas neste Contrato.</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lastRenderedPageBreak/>
        <w:t>CLÁUSULA QUARTA – OBRIGAÇÕES DA CONTRATADA</w:t>
      </w:r>
    </w:p>
    <w:p w:rsidR="00AD65E4" w:rsidRDefault="00AD65E4" w:rsidP="00AD65E4">
      <w:pPr>
        <w:pStyle w:val="ParagraphStyle"/>
        <w:spacing w:after="195" w:line="315" w:lineRule="atLeast"/>
        <w:rPr>
          <w:rFonts w:ascii="Century Gothic" w:hAnsi="Century Gothic" w:cs="Century Gothic"/>
          <w:color w:val="595959"/>
          <w:sz w:val="22"/>
          <w:szCs w:val="22"/>
        </w:rPr>
      </w:pP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AD65E4" w:rsidRDefault="00AD65E4" w:rsidP="00AD65E4">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AD65E4" w:rsidRDefault="00AD65E4" w:rsidP="00AD65E4">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AD65E4" w:rsidRDefault="00AD65E4" w:rsidP="00AD65E4">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32/2022 que deu origem ao presente instrumento.</w:t>
      </w:r>
    </w:p>
    <w:p w:rsidR="00AD65E4" w:rsidRDefault="00AD65E4" w:rsidP="00AD65E4">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IV - Notificar a CONTRATADA, por escrito e com antecedência, sobre multas, penalidades e quaisquer débitos de sua responsabilidade;</w:t>
      </w:r>
    </w:p>
    <w:p w:rsidR="00AD65E4" w:rsidRDefault="00AD65E4" w:rsidP="00AD65E4">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AD65E4" w:rsidRDefault="00AD65E4" w:rsidP="00AD65E4">
      <w:pPr>
        <w:pStyle w:val="ParagraphStyle"/>
        <w:spacing w:after="195" w:line="315" w:lineRule="atLeast"/>
        <w:rPr>
          <w:rFonts w:ascii="Century Gothic" w:hAnsi="Century Gothic" w:cs="Century Gothic"/>
          <w:color w:val="595959"/>
          <w:sz w:val="22"/>
          <w:szCs w:val="22"/>
        </w:rPr>
      </w:pP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AD65E4" w:rsidRDefault="00AD65E4" w:rsidP="00AD65E4">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AD65E4" w:rsidRDefault="00AD65E4" w:rsidP="00AD65E4">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AD65E4" w:rsidRDefault="00AD65E4" w:rsidP="00AD65E4">
      <w:pPr>
        <w:pStyle w:val="ParagraphStyle"/>
        <w:spacing w:line="315" w:lineRule="atLeast"/>
        <w:ind w:firstLine="900"/>
        <w:jc w:val="both"/>
        <w:rPr>
          <w:rFonts w:ascii="Century Gothic" w:hAnsi="Century Gothic" w:cs="Century Gothic"/>
          <w:color w:val="595959"/>
          <w:sz w:val="22"/>
          <w:szCs w:val="22"/>
        </w:rPr>
      </w:pPr>
    </w:p>
    <w:p w:rsidR="00AD65E4" w:rsidRDefault="00AD65E4" w:rsidP="00AD65E4">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AD65E4" w:rsidRDefault="00AD65E4" w:rsidP="00AD65E4">
      <w:pPr>
        <w:pStyle w:val="ParagraphStyle"/>
        <w:tabs>
          <w:tab w:val="left" w:pos="1425"/>
        </w:tabs>
        <w:spacing w:line="315" w:lineRule="atLeast"/>
        <w:jc w:val="both"/>
        <w:rPr>
          <w:rFonts w:ascii="Century Gothic" w:hAnsi="Century Gothic" w:cs="Century Gothic"/>
          <w:color w:val="595959"/>
          <w:sz w:val="22"/>
          <w:szCs w:val="22"/>
        </w:rPr>
      </w:pPr>
    </w:p>
    <w:p w:rsidR="00AD65E4" w:rsidRDefault="00AD65E4" w:rsidP="00AD65E4">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AD65E4" w:rsidRDefault="00AD65E4" w:rsidP="00AD65E4">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AD65E4" w:rsidRDefault="00AD65E4" w:rsidP="00AD65E4">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AD65E4" w:rsidRDefault="00AD65E4" w:rsidP="00AD65E4">
      <w:pPr>
        <w:pStyle w:val="ParagraphStyle"/>
        <w:tabs>
          <w:tab w:val="left" w:pos="690"/>
          <w:tab w:val="left" w:pos="900"/>
        </w:tabs>
        <w:spacing w:line="315" w:lineRule="atLeast"/>
        <w:ind w:firstLine="900"/>
        <w:jc w:val="both"/>
        <w:rPr>
          <w:rFonts w:ascii="Century Gothic" w:hAnsi="Century Gothic" w:cs="Century Gothic"/>
          <w:color w:val="595959"/>
        </w:rPr>
      </w:pPr>
    </w:p>
    <w:p w:rsidR="00AD65E4" w:rsidRDefault="00AD65E4" w:rsidP="00AD65E4">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AD65E4" w:rsidRDefault="00AD65E4" w:rsidP="00AD65E4">
      <w:pPr>
        <w:pStyle w:val="ParagraphStyle"/>
        <w:spacing w:line="315" w:lineRule="atLeast"/>
        <w:jc w:val="both"/>
        <w:rPr>
          <w:rFonts w:ascii="Century Gothic" w:hAnsi="Century Gothic" w:cs="Century Gothic"/>
          <w:b/>
          <w:bCs/>
          <w:color w:val="595959"/>
          <w:sz w:val="22"/>
          <w:szCs w:val="22"/>
        </w:rPr>
      </w:pP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AD65E4" w:rsidRDefault="00AD65E4" w:rsidP="00AD65E4">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AD65E4" w:rsidRDefault="00AD65E4" w:rsidP="00AD65E4">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AD65E4">
        <w:tc>
          <w:tcPr>
            <w:tcW w:w="8430" w:type="dxa"/>
            <w:gridSpan w:val="5"/>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DOTAÇÕES</w:t>
            </w:r>
          </w:p>
        </w:tc>
      </w:tr>
      <w:tr w:rsidR="00AD65E4">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AD65E4" w:rsidRDefault="00AD65E4">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AD65E4" w:rsidRDefault="00AD65E4">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AD65E4" w:rsidRDefault="00AD65E4">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AD65E4" w:rsidRDefault="00AD65E4">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AD65E4" w:rsidRDefault="00AD65E4">
            <w:pPr>
              <w:pStyle w:val="ParagraphStyle"/>
              <w:rPr>
                <w:sz w:val="20"/>
                <w:szCs w:val="20"/>
              </w:rPr>
            </w:pPr>
            <w:r>
              <w:rPr>
                <w:sz w:val="20"/>
                <w:szCs w:val="20"/>
              </w:rPr>
              <w:t>Grupo da fonte</w:t>
            </w:r>
          </w:p>
        </w:tc>
      </w:tr>
      <w:tr w:rsidR="00AD65E4">
        <w:tc>
          <w:tcPr>
            <w:tcW w:w="1260"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4610</w:t>
            </w:r>
          </w:p>
        </w:tc>
        <w:tc>
          <w:tcPr>
            <w:tcW w:w="244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09.002.08.244.0802.6082</w:t>
            </w:r>
          </w:p>
        </w:tc>
        <w:tc>
          <w:tcPr>
            <w:tcW w:w="100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934</w:t>
            </w:r>
          </w:p>
        </w:tc>
        <w:tc>
          <w:tcPr>
            <w:tcW w:w="244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3.3.90.32.03.00</w:t>
            </w:r>
          </w:p>
        </w:tc>
        <w:tc>
          <w:tcPr>
            <w:tcW w:w="127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Do Exercício</w:t>
            </w:r>
          </w:p>
        </w:tc>
      </w:tr>
      <w:tr w:rsidR="00AD65E4">
        <w:tc>
          <w:tcPr>
            <w:tcW w:w="1260"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4680</w:t>
            </w:r>
          </w:p>
        </w:tc>
        <w:tc>
          <w:tcPr>
            <w:tcW w:w="244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09.002.08.244.0802.6084</w:t>
            </w:r>
          </w:p>
        </w:tc>
        <w:tc>
          <w:tcPr>
            <w:tcW w:w="100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918</w:t>
            </w:r>
          </w:p>
        </w:tc>
        <w:tc>
          <w:tcPr>
            <w:tcW w:w="244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3.3.90.32.03.00</w:t>
            </w:r>
          </w:p>
        </w:tc>
        <w:tc>
          <w:tcPr>
            <w:tcW w:w="1275" w:type="dxa"/>
            <w:tcBorders>
              <w:top w:val="single" w:sz="6" w:space="0" w:color="000000"/>
              <w:left w:val="single" w:sz="6" w:space="0" w:color="000000"/>
              <w:bottom w:val="single" w:sz="6" w:space="0" w:color="000000"/>
              <w:right w:val="single" w:sz="6" w:space="0" w:color="000000"/>
            </w:tcBorders>
          </w:tcPr>
          <w:p w:rsidR="00AD65E4" w:rsidRDefault="00AD65E4">
            <w:pPr>
              <w:pStyle w:val="ParagraphStyle"/>
              <w:rPr>
                <w:sz w:val="20"/>
                <w:szCs w:val="20"/>
              </w:rPr>
            </w:pPr>
            <w:r>
              <w:rPr>
                <w:sz w:val="20"/>
                <w:szCs w:val="20"/>
              </w:rPr>
              <w:t>Do Exercício</w:t>
            </w:r>
          </w:p>
        </w:tc>
      </w:tr>
    </w:tbl>
    <w:p w:rsidR="00AD65E4" w:rsidRDefault="00AD65E4" w:rsidP="00AD65E4">
      <w:pPr>
        <w:pStyle w:val="ParagraphStyle"/>
        <w:spacing w:line="315" w:lineRule="atLeast"/>
        <w:jc w:val="both"/>
        <w:rPr>
          <w:rFonts w:ascii="Century Gothic" w:hAnsi="Century Gothic" w:cs="Century Gothic"/>
          <w:b/>
          <w:bCs/>
          <w:caps/>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R$ 210.000,00 (Duzentos e Dez Mil Reais).</w:t>
      </w:r>
    </w:p>
    <w:p w:rsidR="00AD65E4" w:rsidRDefault="00AD65E4" w:rsidP="00AD65E4">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w:t>
      </w:r>
      <w:r>
        <w:rPr>
          <w:rFonts w:ascii="Century Gothic" w:hAnsi="Century Gothic" w:cs="Century Gothic"/>
          <w:color w:val="595959"/>
          <w:sz w:val="22"/>
          <w:szCs w:val="22"/>
        </w:rPr>
        <w:lastRenderedPageBreak/>
        <w:t xml:space="preserve">atestada por quem de direito. O pagamento ficará condicionado à comprovação da regularidade fiscal da Contratada (à critério da Contratante). </w:t>
      </w:r>
    </w:p>
    <w:p w:rsidR="00AD65E4" w:rsidRDefault="00AD65E4" w:rsidP="00AD65E4">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AD65E4" w:rsidRDefault="00AD65E4" w:rsidP="00AD65E4">
      <w:pPr>
        <w:pStyle w:val="ParagraphStyle"/>
        <w:spacing w:after="195" w:line="315" w:lineRule="atLeast"/>
        <w:ind w:firstLine="900"/>
        <w:jc w:val="both"/>
        <w:rPr>
          <w:rFonts w:ascii="Century Gothic" w:hAnsi="Century Gothic" w:cs="Century Gothic"/>
          <w:color w:val="595959"/>
          <w:sz w:val="22"/>
          <w:szCs w:val="22"/>
        </w:rPr>
      </w:pP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p>
    <w:p w:rsidR="00AD65E4" w:rsidRDefault="00AD65E4" w:rsidP="00AD65E4">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AD65E4" w:rsidRDefault="00AD65E4" w:rsidP="00AD65E4">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AD65E4" w:rsidRDefault="00AD65E4" w:rsidP="00AD65E4">
      <w:pPr>
        <w:pStyle w:val="ParagraphStyle"/>
        <w:spacing w:line="315" w:lineRule="atLeast"/>
        <w:rPr>
          <w:rFonts w:ascii="Century Gothic" w:hAnsi="Century Gothic" w:cs="Century Gothic"/>
          <w:color w:val="595959"/>
          <w:sz w:val="22"/>
          <w:szCs w:val="22"/>
        </w:rPr>
      </w:pP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w:t>
      </w:r>
      <w:r>
        <w:rPr>
          <w:rFonts w:ascii="Century Gothic" w:hAnsi="Century Gothic" w:cs="Century Gothic"/>
          <w:color w:val="595959"/>
          <w:sz w:val="22"/>
          <w:szCs w:val="22"/>
        </w:rPr>
        <w:lastRenderedPageBreak/>
        <w:t xml:space="preserve">entregue fora do prazo ou ainda em desacordo com as especificações, até o limite de 15% (quinze por cento). </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AD65E4" w:rsidRDefault="00AD65E4" w:rsidP="00AD65E4">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AD65E4" w:rsidRDefault="00AD65E4" w:rsidP="00AD65E4">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AD65E4" w:rsidRDefault="00AD65E4" w:rsidP="00AD65E4">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AD65E4" w:rsidRDefault="00AD65E4" w:rsidP="00AD65E4">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AD65E4" w:rsidRDefault="00AD65E4" w:rsidP="00AD65E4">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AD65E4" w:rsidRDefault="00AD65E4" w:rsidP="00AD65E4">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AD65E4" w:rsidRDefault="00AD65E4" w:rsidP="00AD65E4">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AD65E4" w:rsidRDefault="00AD65E4" w:rsidP="00AD65E4">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AD65E4" w:rsidRDefault="00AD65E4" w:rsidP="00AD65E4">
      <w:pPr>
        <w:pStyle w:val="ParagraphStyle"/>
        <w:spacing w:after="195"/>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AD65E4" w:rsidRDefault="00AD65E4" w:rsidP="00AD65E4">
      <w:pPr>
        <w:pStyle w:val="ParagraphStyle"/>
        <w:spacing w:after="195" w:line="315" w:lineRule="atLeast"/>
        <w:jc w:val="both"/>
        <w:rPr>
          <w:rFonts w:ascii="Century Gothic" w:hAnsi="Century Gothic" w:cs="Century Gothic"/>
          <w:b/>
          <w:bCs/>
          <w:color w:val="595959"/>
          <w:sz w:val="22"/>
          <w:szCs w:val="22"/>
        </w:rPr>
      </w:pP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O presente contrato poderá ser rescindido pelos motivos previstos nos art. 77, 78 e 79, da Lei n.º 8.666/93 e suas alterações.</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AD65E4" w:rsidRDefault="00AD65E4" w:rsidP="00AD65E4">
      <w:pPr>
        <w:pStyle w:val="ParagraphStyle"/>
        <w:spacing w:line="315" w:lineRule="atLeast"/>
        <w:jc w:val="both"/>
        <w:rPr>
          <w:rFonts w:ascii="Century Gothic" w:hAnsi="Century Gothic" w:cs="Century Gothic"/>
          <w:b/>
          <w:bCs/>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AD65E4" w:rsidRDefault="00AD65E4" w:rsidP="00AD65E4">
      <w:pPr>
        <w:pStyle w:val="ParagraphStyle"/>
        <w:spacing w:after="195" w:line="315" w:lineRule="atLeast"/>
        <w:rPr>
          <w:rFonts w:ascii="Century Gothic" w:hAnsi="Century Gothic" w:cs="Century Gothic"/>
          <w:color w:val="595959"/>
          <w:sz w:val="22"/>
          <w:szCs w:val="22"/>
        </w:rPr>
      </w:pP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AD65E4" w:rsidRDefault="00AD65E4" w:rsidP="00AD65E4">
      <w:pPr>
        <w:pStyle w:val="ParagraphStyle"/>
        <w:spacing w:after="195" w:line="315" w:lineRule="atLeast"/>
        <w:rPr>
          <w:rFonts w:ascii="Century Gothic" w:hAnsi="Century Gothic" w:cs="Century Gothic"/>
          <w:color w:val="595959"/>
          <w:sz w:val="22"/>
          <w:szCs w:val="22"/>
        </w:rPr>
      </w:pP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AD65E4" w:rsidRDefault="00AD65E4" w:rsidP="00AD65E4">
      <w:pPr>
        <w:pStyle w:val="ParagraphStyle"/>
        <w:spacing w:after="195"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AD65E4" w:rsidRDefault="00AD65E4" w:rsidP="00AD65E4">
      <w:pPr>
        <w:pStyle w:val="ParagraphStyle"/>
        <w:spacing w:line="315" w:lineRule="atLeast"/>
        <w:jc w:val="both"/>
        <w:rPr>
          <w:rFonts w:ascii="Century Gothic" w:hAnsi="Century Gothic" w:cs="Century Gothic"/>
          <w:b/>
          <w:bCs/>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contratação em tela foi autorizada mediante a homologação confirmada do julgamento das propostas de eficácia à adjudicação da Licitação Modalidade Pregão Nº 32/2022, mediante parecer exarado pela Procuradoria Jurídica de Palmital – Paraná e autorização do Prefeito Municipal.</w:t>
      </w:r>
    </w:p>
    <w:p w:rsidR="00AD65E4" w:rsidRDefault="00AD65E4" w:rsidP="00AD65E4">
      <w:pPr>
        <w:pStyle w:val="ParagraphStyle"/>
        <w:spacing w:after="195" w:line="315" w:lineRule="atLeast"/>
        <w:ind w:firstLine="855"/>
        <w:jc w:val="both"/>
        <w:rPr>
          <w:rFonts w:ascii="Century Gothic" w:hAnsi="Century Gothic" w:cs="Century Gothic"/>
          <w:color w:val="595959"/>
          <w:sz w:val="22"/>
          <w:szCs w:val="22"/>
        </w:rPr>
      </w:pPr>
    </w:p>
    <w:p w:rsidR="00AD65E4" w:rsidRDefault="00AD65E4" w:rsidP="00AD65E4">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AD65E4" w:rsidRDefault="00AD65E4" w:rsidP="00AD65E4">
      <w:pPr>
        <w:pStyle w:val="ParagraphStyle"/>
        <w:spacing w:line="315" w:lineRule="atLeast"/>
        <w:rPr>
          <w:rFonts w:ascii="Century Gothic" w:hAnsi="Century Gothic" w:cs="Century Gothic"/>
          <w:color w:val="595959"/>
          <w:sz w:val="22"/>
          <w:szCs w:val="22"/>
        </w:rPr>
      </w:pPr>
    </w:p>
    <w:p w:rsidR="00AD65E4" w:rsidRDefault="00AD65E4" w:rsidP="00AD65E4">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AD65E4" w:rsidRDefault="00AD65E4" w:rsidP="00AD65E4">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AD65E4" w:rsidRDefault="00AD65E4" w:rsidP="00AD65E4">
      <w:pPr>
        <w:pStyle w:val="ParagraphStyle"/>
        <w:spacing w:line="315" w:lineRule="atLeast"/>
        <w:rPr>
          <w:rFonts w:ascii="Century Gothic" w:hAnsi="Century Gothic" w:cs="Century Gothic"/>
          <w:color w:val="595959"/>
          <w:sz w:val="22"/>
          <w:szCs w:val="22"/>
        </w:rPr>
      </w:pPr>
    </w:p>
    <w:p w:rsidR="00AD65E4" w:rsidRDefault="00AD65E4" w:rsidP="00AD65E4">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03/05/2022.</w:t>
      </w:r>
    </w:p>
    <w:p w:rsidR="00AD65E4" w:rsidRDefault="00AD65E4" w:rsidP="00AD65E4">
      <w:pPr>
        <w:pStyle w:val="ParagraphStyle"/>
        <w:spacing w:line="315" w:lineRule="atLeast"/>
        <w:rPr>
          <w:rFonts w:ascii="Century Gothic" w:hAnsi="Century Gothic" w:cs="Century Gothic"/>
          <w:color w:val="595959"/>
          <w:sz w:val="22"/>
          <w:szCs w:val="22"/>
        </w:rPr>
      </w:pPr>
    </w:p>
    <w:p w:rsidR="00AD65E4" w:rsidRDefault="00AD65E4" w:rsidP="00AD65E4">
      <w:pPr>
        <w:pStyle w:val="ParagraphStyle"/>
        <w:tabs>
          <w:tab w:val="left" w:pos="2265"/>
        </w:tabs>
        <w:spacing w:line="315" w:lineRule="atLeast"/>
        <w:ind w:right="-45"/>
        <w:jc w:val="both"/>
        <w:rPr>
          <w:rFonts w:ascii="Century Gothic" w:hAnsi="Century Gothic" w:cs="Century Gothic"/>
          <w:color w:val="595959"/>
          <w:sz w:val="22"/>
          <w:szCs w:val="22"/>
        </w:rPr>
      </w:pPr>
    </w:p>
    <w:p w:rsidR="00AD65E4" w:rsidRDefault="00AD65E4" w:rsidP="00AD65E4">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AD65E4" w:rsidRDefault="00AD65E4" w:rsidP="00AD65E4">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 Contratante</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EFERSON LUCIANO FERREIRA DE ALMEIDA ME</w:t>
      </w:r>
    </w:p>
    <w:p w:rsidR="00AD65E4" w:rsidRDefault="00AD65E4" w:rsidP="00AD65E4">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EFERSON LUCIANO FERREIRA DE ALMEIDA</w:t>
      </w:r>
    </w:p>
    <w:p w:rsidR="00AD65E4" w:rsidRDefault="00AD65E4" w:rsidP="00AD65E4">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825.669.769-53</w:t>
      </w:r>
    </w:p>
    <w:p w:rsidR="00AD65E4" w:rsidRDefault="00AD65E4" w:rsidP="00AD65E4">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AD65E4" w:rsidRDefault="00AD65E4" w:rsidP="00AD65E4">
      <w:pPr>
        <w:pStyle w:val="ParagraphStyle"/>
        <w:spacing w:line="315" w:lineRule="atLeast"/>
        <w:jc w:val="both"/>
        <w:rPr>
          <w:rFonts w:ascii="Century Gothic" w:hAnsi="Century Gothic" w:cs="Century Gothic"/>
          <w:color w:val="595959"/>
          <w:sz w:val="22"/>
          <w:szCs w:val="22"/>
        </w:rPr>
      </w:pPr>
    </w:p>
    <w:p w:rsidR="00AD65E4" w:rsidRDefault="00AD65E4" w:rsidP="00AD65E4">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AD65E4" w:rsidRPr="00AD65E4" w:rsidRDefault="00AD65E4" w:rsidP="00AD65E4">
      <w:pPr>
        <w:pStyle w:val="ParagraphStyle"/>
        <w:spacing w:line="315" w:lineRule="atLeast"/>
        <w:jc w:val="both"/>
        <w:rPr>
          <w:rFonts w:ascii="Century Gothic" w:hAnsi="Century Gothic" w:cs="Century Gothic"/>
          <w:color w:val="595959" w:themeColor="text1" w:themeTint="A6"/>
          <w:sz w:val="20"/>
          <w:szCs w:val="22"/>
        </w:rPr>
      </w:pPr>
    </w:p>
    <w:p w:rsidR="00AD65E4" w:rsidRPr="00AD65E4" w:rsidRDefault="00AD65E4" w:rsidP="00AD65E4">
      <w:pPr>
        <w:pStyle w:val="ParagraphStyle"/>
        <w:spacing w:line="315" w:lineRule="atLeast"/>
        <w:jc w:val="both"/>
        <w:rPr>
          <w:rFonts w:ascii="Century Gothic" w:hAnsi="Century Gothic" w:cs="Century Gothic"/>
          <w:color w:val="595959" w:themeColor="text1" w:themeTint="A6"/>
          <w:sz w:val="20"/>
          <w:szCs w:val="22"/>
        </w:rPr>
      </w:pPr>
      <w:r w:rsidRPr="00AD65E4">
        <w:rPr>
          <w:rFonts w:ascii="Century Gothic" w:hAnsi="Century Gothic" w:cs="Century Gothic"/>
          <w:color w:val="595959" w:themeColor="text1" w:themeTint="A6"/>
          <w:sz w:val="20"/>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AD65E4" w:rsidRPr="00AD65E4">
        <w:trPr>
          <w:tblCellSpacing w:w="15" w:type="dxa"/>
        </w:trPr>
        <w:tc>
          <w:tcPr>
            <w:tcW w:w="4531" w:type="dxa"/>
            <w:tcBorders>
              <w:left w:val="nil"/>
              <w:bottom w:val="nil"/>
              <w:right w:val="nil"/>
            </w:tcBorders>
          </w:tcPr>
          <w:p w:rsidR="00AD65E4" w:rsidRPr="00AD65E4" w:rsidRDefault="00AD65E4">
            <w:pPr>
              <w:pStyle w:val="ParagraphStyle"/>
              <w:rPr>
                <w:color w:val="595959" w:themeColor="text1" w:themeTint="A6"/>
                <w:sz w:val="18"/>
                <w:szCs w:val="20"/>
              </w:rPr>
            </w:pPr>
            <w:r w:rsidRPr="00AD65E4">
              <w:rPr>
                <w:color w:val="595959" w:themeColor="text1" w:themeTint="A6"/>
                <w:sz w:val="18"/>
                <w:szCs w:val="20"/>
              </w:rPr>
              <w:t>JESSICA FERNANDA MOREIRA</w:t>
            </w:r>
          </w:p>
          <w:p w:rsidR="00AD65E4" w:rsidRPr="00AD65E4" w:rsidRDefault="00AD65E4">
            <w:pPr>
              <w:pStyle w:val="ParagraphStyle"/>
              <w:rPr>
                <w:color w:val="595959" w:themeColor="text1" w:themeTint="A6"/>
                <w:sz w:val="18"/>
                <w:szCs w:val="20"/>
              </w:rPr>
            </w:pPr>
            <w:r w:rsidRPr="00AD65E4">
              <w:rPr>
                <w:color w:val="595959" w:themeColor="text1" w:themeTint="A6"/>
                <w:sz w:val="18"/>
                <w:szCs w:val="20"/>
              </w:rPr>
              <w:t>06154156952</w:t>
            </w:r>
          </w:p>
        </w:tc>
        <w:tc>
          <w:tcPr>
            <w:tcW w:w="4547" w:type="dxa"/>
            <w:tcBorders>
              <w:left w:val="nil"/>
              <w:bottom w:val="nil"/>
              <w:right w:val="nil"/>
            </w:tcBorders>
          </w:tcPr>
          <w:p w:rsidR="00AD65E4" w:rsidRPr="00AD65E4" w:rsidRDefault="00AD65E4">
            <w:pPr>
              <w:pStyle w:val="ParagraphStyle"/>
              <w:rPr>
                <w:color w:val="595959" w:themeColor="text1" w:themeTint="A6"/>
                <w:sz w:val="18"/>
                <w:szCs w:val="20"/>
              </w:rPr>
            </w:pPr>
            <w:r w:rsidRPr="00AD65E4">
              <w:rPr>
                <w:color w:val="595959" w:themeColor="text1" w:themeTint="A6"/>
                <w:sz w:val="18"/>
                <w:szCs w:val="20"/>
              </w:rPr>
              <w:t>JOSE DA LUZ DOS SANTOS CORDEIRO</w:t>
            </w:r>
          </w:p>
          <w:p w:rsidR="00AD65E4" w:rsidRPr="00AD65E4" w:rsidRDefault="00AD65E4">
            <w:pPr>
              <w:pStyle w:val="ParagraphStyle"/>
              <w:rPr>
                <w:color w:val="595959" w:themeColor="text1" w:themeTint="A6"/>
                <w:sz w:val="18"/>
                <w:szCs w:val="20"/>
              </w:rPr>
            </w:pPr>
            <w:r w:rsidRPr="00AD65E4">
              <w:rPr>
                <w:color w:val="595959" w:themeColor="text1" w:themeTint="A6"/>
                <w:sz w:val="18"/>
                <w:szCs w:val="20"/>
              </w:rPr>
              <w:t>53732308987</w:t>
            </w:r>
          </w:p>
        </w:tc>
      </w:tr>
    </w:tbl>
    <w:p w:rsidR="00AD65E4" w:rsidRDefault="00AD65E4" w:rsidP="00AD65E4">
      <w:pPr>
        <w:pStyle w:val="ParagraphStyle"/>
        <w:spacing w:line="315" w:lineRule="atLeast"/>
        <w:jc w:val="both"/>
        <w:rPr>
          <w:rFonts w:ascii="Century Gothic" w:hAnsi="Century Gothic" w:cs="Century Gothic"/>
          <w:color w:val="595959"/>
          <w:sz w:val="22"/>
          <w:szCs w:val="22"/>
        </w:rPr>
      </w:pPr>
    </w:p>
    <w:sectPr w:rsidR="00AD65E4" w:rsidSect="00D03A3E">
      <w:headerReference w:type="default" r:id="rId6"/>
      <w:pgSz w:w="11906" w:h="16838"/>
      <w:pgMar w:top="284" w:right="1134" w:bottom="1134" w:left="1134" w:header="567" w:footer="567"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589" w:rsidRDefault="00DA5589" w:rsidP="004A2128">
      <w:pPr>
        <w:spacing w:after="0" w:line="240" w:lineRule="auto"/>
      </w:pPr>
      <w:r>
        <w:separator/>
      </w:r>
    </w:p>
  </w:endnote>
  <w:endnote w:type="continuationSeparator" w:id="1">
    <w:p w:rsidR="00DA5589" w:rsidRDefault="00DA5589" w:rsidP="004A21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589" w:rsidRDefault="00DA5589" w:rsidP="004A2128">
      <w:pPr>
        <w:spacing w:after="0" w:line="240" w:lineRule="auto"/>
      </w:pPr>
      <w:r>
        <w:separator/>
      </w:r>
    </w:p>
  </w:footnote>
  <w:footnote w:type="continuationSeparator" w:id="1">
    <w:p w:rsidR="00DA5589" w:rsidRDefault="00DA5589" w:rsidP="004A21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128" w:rsidRDefault="004A2128">
    <w:pPr>
      <w:pStyle w:val="Cabealho"/>
    </w:pPr>
    <w:r>
      <w:rPr>
        <w:noProof/>
        <w:lang w:eastAsia="pt-BR"/>
      </w:rPr>
      <w:drawing>
        <wp:inline distT="0" distB="0" distL="0" distR="0">
          <wp:extent cx="6134100" cy="11430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34100" cy="1143000"/>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4A2128"/>
    <w:rsid w:val="002A3046"/>
    <w:rsid w:val="002C2DB2"/>
    <w:rsid w:val="003339ED"/>
    <w:rsid w:val="003A4010"/>
    <w:rsid w:val="00454E2E"/>
    <w:rsid w:val="004A2128"/>
    <w:rsid w:val="006F6102"/>
    <w:rsid w:val="007A1A9A"/>
    <w:rsid w:val="007A3FFE"/>
    <w:rsid w:val="008C7C98"/>
    <w:rsid w:val="008D16EA"/>
    <w:rsid w:val="00976807"/>
    <w:rsid w:val="009B5F09"/>
    <w:rsid w:val="009E6DCE"/>
    <w:rsid w:val="00A90A6C"/>
    <w:rsid w:val="00AD65E4"/>
    <w:rsid w:val="00BA479D"/>
    <w:rsid w:val="00BF09F6"/>
    <w:rsid w:val="00D03A3E"/>
    <w:rsid w:val="00D2099E"/>
    <w:rsid w:val="00D922DF"/>
    <w:rsid w:val="00DA5589"/>
    <w:rsid w:val="00DD53B6"/>
    <w:rsid w:val="00E402C8"/>
    <w:rsid w:val="00F1043F"/>
    <w:rsid w:val="00F25F10"/>
    <w:rsid w:val="00F75FE6"/>
    <w:rsid w:val="00F95D2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DB2"/>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A2128"/>
    <w:pPr>
      <w:autoSpaceDE w:val="0"/>
      <w:autoSpaceDN w:val="0"/>
      <w:adjustRightInd w:val="0"/>
      <w:spacing w:after="0" w:line="240" w:lineRule="auto"/>
    </w:pPr>
    <w:rPr>
      <w:rFonts w:ascii="Arial" w:hAnsi="Arial" w:cs="Arial"/>
      <w:sz w:val="24"/>
      <w:szCs w:val="24"/>
    </w:rPr>
  </w:style>
  <w:style w:type="paragraph" w:styleId="Cabealho">
    <w:name w:val="header"/>
    <w:basedOn w:val="Normal"/>
    <w:link w:val="CabealhoChar"/>
    <w:uiPriority w:val="99"/>
    <w:unhideWhenUsed/>
    <w:rsid w:val="004A212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A2128"/>
  </w:style>
  <w:style w:type="paragraph" w:styleId="Rodap">
    <w:name w:val="footer"/>
    <w:basedOn w:val="Normal"/>
    <w:link w:val="RodapChar"/>
    <w:uiPriority w:val="99"/>
    <w:unhideWhenUsed/>
    <w:rsid w:val="004A2128"/>
    <w:pPr>
      <w:tabs>
        <w:tab w:val="center" w:pos="4252"/>
        <w:tab w:val="right" w:pos="8504"/>
      </w:tabs>
      <w:spacing w:after="0" w:line="240" w:lineRule="auto"/>
    </w:pPr>
  </w:style>
  <w:style w:type="character" w:customStyle="1" w:styleId="RodapChar">
    <w:name w:val="Rodapé Char"/>
    <w:basedOn w:val="Fontepargpadro"/>
    <w:link w:val="Rodap"/>
    <w:uiPriority w:val="99"/>
    <w:rsid w:val="004A2128"/>
  </w:style>
  <w:style w:type="paragraph" w:styleId="Textodebalo">
    <w:name w:val="Balloon Text"/>
    <w:basedOn w:val="Normal"/>
    <w:link w:val="TextodebaloChar"/>
    <w:uiPriority w:val="99"/>
    <w:semiHidden/>
    <w:unhideWhenUsed/>
    <w:rsid w:val="004A212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A21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3505</Words>
  <Characters>18929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Ferraz</dc:creator>
  <cp:lastModifiedBy>Danilo</cp:lastModifiedBy>
  <cp:revision>2</cp:revision>
  <cp:lastPrinted>2017-12-18T16:52:00Z</cp:lastPrinted>
  <dcterms:created xsi:type="dcterms:W3CDTF">2022-05-03T17:45:00Z</dcterms:created>
  <dcterms:modified xsi:type="dcterms:W3CDTF">2022-05-03T17:45:00Z</dcterms:modified>
</cp:coreProperties>
</file>