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B98" w:rsidRPr="00EF0B98" w:rsidRDefault="00EF0B98" w:rsidP="00EF0B98">
      <w:pPr>
        <w:pStyle w:val="SemEspaamento"/>
        <w:spacing w:line="480" w:lineRule="auto"/>
        <w:jc w:val="center"/>
        <w:rPr>
          <w:rFonts w:ascii="Century Gothic" w:hAnsi="Century Gothic" w:cs="Arial"/>
          <w:b/>
          <w:sz w:val="22"/>
          <w:szCs w:val="22"/>
        </w:rPr>
      </w:pPr>
      <w:r w:rsidRPr="00EF0B98">
        <w:rPr>
          <w:rFonts w:ascii="Century Gothic" w:hAnsi="Century Gothic" w:cs="Arial"/>
          <w:b/>
          <w:sz w:val="22"/>
          <w:szCs w:val="22"/>
        </w:rPr>
        <w:t>INEXIGIBILI</w:t>
      </w:r>
      <w:r w:rsidR="00E813E4">
        <w:rPr>
          <w:rFonts w:ascii="Century Gothic" w:hAnsi="Century Gothic" w:cs="Arial"/>
          <w:b/>
          <w:sz w:val="22"/>
          <w:szCs w:val="22"/>
        </w:rPr>
        <w:t>DADE DE CHAMAMENTO PÚBLICO N° 03</w:t>
      </w:r>
      <w:bookmarkStart w:id="0" w:name="_GoBack"/>
      <w:bookmarkEnd w:id="0"/>
      <w:r w:rsidRPr="00EF0B98">
        <w:rPr>
          <w:rFonts w:ascii="Century Gothic" w:hAnsi="Century Gothic" w:cs="Arial"/>
          <w:b/>
          <w:sz w:val="22"/>
          <w:szCs w:val="22"/>
        </w:rPr>
        <w:t>/20</w:t>
      </w:r>
      <w:r w:rsidR="000E0FB6">
        <w:rPr>
          <w:rFonts w:ascii="Century Gothic" w:hAnsi="Century Gothic" w:cs="Arial"/>
          <w:b/>
          <w:sz w:val="22"/>
          <w:szCs w:val="22"/>
        </w:rPr>
        <w:t>23</w:t>
      </w:r>
    </w:p>
    <w:p w:rsidR="00812619" w:rsidRPr="00EF0B98" w:rsidRDefault="00EF0B98" w:rsidP="00EF0B98">
      <w:pPr>
        <w:pStyle w:val="SemEspaamento"/>
        <w:spacing w:line="480" w:lineRule="auto"/>
        <w:jc w:val="center"/>
        <w:rPr>
          <w:rFonts w:ascii="Century Gothic" w:hAnsi="Century Gothic" w:cs="Arial"/>
          <w:b/>
          <w:sz w:val="22"/>
          <w:szCs w:val="22"/>
        </w:rPr>
      </w:pPr>
      <w:r w:rsidRPr="00EF0B98">
        <w:rPr>
          <w:rFonts w:ascii="Century Gothic" w:hAnsi="Century Gothic" w:cs="Arial"/>
          <w:b/>
          <w:sz w:val="22"/>
          <w:szCs w:val="22"/>
        </w:rPr>
        <w:t xml:space="preserve">Termo de </w:t>
      </w:r>
      <w:r w:rsidR="00F116C0">
        <w:rPr>
          <w:rFonts w:ascii="Century Gothic" w:hAnsi="Century Gothic" w:cs="Arial"/>
          <w:b/>
          <w:sz w:val="22"/>
          <w:szCs w:val="22"/>
        </w:rPr>
        <w:t>Fomento</w:t>
      </w:r>
      <w:r w:rsidR="002D61DE">
        <w:rPr>
          <w:rFonts w:ascii="Century Gothic" w:hAnsi="Century Gothic" w:cs="Arial"/>
          <w:b/>
          <w:sz w:val="22"/>
          <w:szCs w:val="22"/>
        </w:rPr>
        <w:t xml:space="preserve"> 01</w:t>
      </w:r>
      <w:r w:rsidR="001F7C3B">
        <w:rPr>
          <w:rFonts w:ascii="Century Gothic" w:hAnsi="Century Gothic" w:cs="Arial"/>
          <w:b/>
          <w:sz w:val="22"/>
          <w:szCs w:val="22"/>
        </w:rPr>
        <w:t>/202</w:t>
      </w:r>
      <w:r w:rsidR="002D61DE">
        <w:rPr>
          <w:rFonts w:ascii="Century Gothic" w:hAnsi="Century Gothic" w:cs="Arial"/>
          <w:b/>
          <w:sz w:val="22"/>
          <w:szCs w:val="22"/>
        </w:rPr>
        <w:t>3</w:t>
      </w:r>
      <w:r w:rsidRPr="00EF0B98">
        <w:rPr>
          <w:rFonts w:ascii="Century Gothic" w:hAnsi="Century Gothic" w:cs="Arial"/>
          <w:b/>
          <w:sz w:val="22"/>
          <w:szCs w:val="22"/>
        </w:rPr>
        <w:t xml:space="preserve"> • Lei federal n° 13.019/2014</w:t>
      </w:r>
    </w:p>
    <w:p w:rsidR="00812619" w:rsidRPr="00280251" w:rsidRDefault="00812619" w:rsidP="00812619">
      <w:pPr>
        <w:pStyle w:val="SemEspaamento"/>
        <w:spacing w:line="480" w:lineRule="auto"/>
        <w:jc w:val="center"/>
        <w:rPr>
          <w:rFonts w:ascii="Century Gothic" w:hAnsi="Century Gothic" w:cs="Arial"/>
          <w:b/>
          <w:sz w:val="22"/>
          <w:szCs w:val="22"/>
          <w:u w:val="single"/>
        </w:rPr>
      </w:pPr>
    </w:p>
    <w:p w:rsidR="00EF0B98" w:rsidRPr="00F116C0" w:rsidRDefault="00EF0B98" w:rsidP="00F116C0">
      <w:pPr>
        <w:pStyle w:val="SemEspaamento"/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  <w:r w:rsidRPr="00EF0B98">
        <w:rPr>
          <w:rFonts w:ascii="Century Gothic" w:hAnsi="Century Gothic" w:cs="Arial"/>
          <w:b/>
          <w:sz w:val="22"/>
          <w:szCs w:val="22"/>
        </w:rPr>
        <w:t>Organização da Sociedade Civil:</w:t>
      </w:r>
      <w:r w:rsidR="007D688A">
        <w:rPr>
          <w:rFonts w:ascii="Century Gothic" w:hAnsi="Century Gothic" w:cs="Arial"/>
          <w:b/>
          <w:sz w:val="22"/>
          <w:szCs w:val="22"/>
        </w:rPr>
        <w:t xml:space="preserve"> </w:t>
      </w:r>
      <w:r w:rsidR="00F116C0" w:rsidRPr="00F116C0">
        <w:rPr>
          <w:rFonts w:ascii="Century Gothic" w:hAnsi="Century Gothic" w:cs="Arial"/>
          <w:sz w:val="22"/>
          <w:szCs w:val="22"/>
        </w:rPr>
        <w:t xml:space="preserve">CONSELHO COMUNITÁRIO DE SEGURANÇA DE PALMITAL – PR - CONSEG, inscrito no CNPJ: 81.651.143/0001-65, situada na Rua Moisés </w:t>
      </w:r>
      <w:proofErr w:type="spellStart"/>
      <w:r w:rsidR="00F116C0" w:rsidRPr="00F116C0">
        <w:rPr>
          <w:rFonts w:ascii="Century Gothic" w:hAnsi="Century Gothic" w:cs="Arial"/>
          <w:sz w:val="22"/>
          <w:szCs w:val="22"/>
        </w:rPr>
        <w:t>Lupion</w:t>
      </w:r>
      <w:proofErr w:type="spellEnd"/>
      <w:r w:rsidR="00F116C0" w:rsidRPr="00F116C0">
        <w:rPr>
          <w:rFonts w:ascii="Century Gothic" w:hAnsi="Century Gothic" w:cs="Arial"/>
          <w:sz w:val="22"/>
          <w:szCs w:val="22"/>
        </w:rPr>
        <w:t>, s/n, centro em Palmital-</w:t>
      </w:r>
      <w:proofErr w:type="gramStart"/>
      <w:r w:rsidR="00F116C0" w:rsidRPr="00F116C0">
        <w:rPr>
          <w:rFonts w:ascii="Century Gothic" w:hAnsi="Century Gothic" w:cs="Arial"/>
          <w:sz w:val="22"/>
          <w:szCs w:val="22"/>
        </w:rPr>
        <w:t>PR</w:t>
      </w:r>
      <w:proofErr w:type="gramEnd"/>
    </w:p>
    <w:p w:rsidR="00492667" w:rsidRPr="00EF0B98" w:rsidRDefault="00492667" w:rsidP="00492667">
      <w:pPr>
        <w:pStyle w:val="SemEspaamento"/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</w:p>
    <w:p w:rsidR="00812619" w:rsidRPr="00EF0B98" w:rsidRDefault="00EF0B98" w:rsidP="00EF0B98">
      <w:pPr>
        <w:pStyle w:val="SemEspaamento"/>
        <w:spacing w:line="480" w:lineRule="auto"/>
        <w:jc w:val="both"/>
        <w:rPr>
          <w:rFonts w:ascii="Century Gothic" w:hAnsi="Century Gothic" w:cs="Arial"/>
          <w:sz w:val="22"/>
          <w:szCs w:val="22"/>
        </w:rPr>
      </w:pPr>
      <w:r w:rsidRPr="00EF0B98">
        <w:rPr>
          <w:rFonts w:ascii="Century Gothic" w:hAnsi="Century Gothic" w:cs="Arial"/>
          <w:b/>
          <w:sz w:val="22"/>
          <w:szCs w:val="22"/>
        </w:rPr>
        <w:t>Tipo de parceria:</w:t>
      </w:r>
      <w:proofErr w:type="gramStart"/>
      <w:r w:rsidRPr="00EF0B98">
        <w:rPr>
          <w:rFonts w:ascii="Century Gothic" w:hAnsi="Century Gothic" w:cs="Arial"/>
          <w:sz w:val="22"/>
          <w:szCs w:val="22"/>
        </w:rPr>
        <w:t xml:space="preserve"> </w:t>
      </w:r>
      <w:r w:rsidR="000E0FB6">
        <w:rPr>
          <w:rFonts w:ascii="Century Gothic" w:hAnsi="Century Gothic" w:cs="Arial"/>
          <w:sz w:val="22"/>
          <w:szCs w:val="22"/>
        </w:rPr>
        <w:t xml:space="preserve"> </w:t>
      </w:r>
      <w:proofErr w:type="gramEnd"/>
      <w:r w:rsidRPr="00EF0B98">
        <w:rPr>
          <w:rFonts w:ascii="Century Gothic" w:hAnsi="Century Gothic" w:cs="Arial"/>
          <w:sz w:val="22"/>
          <w:szCs w:val="22"/>
        </w:rPr>
        <w:t xml:space="preserve">Termo de </w:t>
      </w:r>
      <w:r w:rsidR="00F116C0">
        <w:rPr>
          <w:rFonts w:ascii="Century Gothic" w:hAnsi="Century Gothic" w:cs="Arial"/>
          <w:sz w:val="22"/>
          <w:szCs w:val="22"/>
        </w:rPr>
        <w:t>Fomento</w:t>
      </w:r>
    </w:p>
    <w:p w:rsidR="00C93856" w:rsidRDefault="006471DA" w:rsidP="007722F9">
      <w:pPr>
        <w:pStyle w:val="Padro"/>
        <w:spacing w:before="100" w:beforeAutospacing="1" w:after="100" w:afterAutospacing="1" w:line="312" w:lineRule="auto"/>
        <w:rPr>
          <w:rFonts w:ascii="Century Gothic" w:hAnsi="Century Gothic"/>
          <w:sz w:val="22"/>
          <w:szCs w:val="22"/>
        </w:rPr>
      </w:pPr>
      <w:r w:rsidRPr="006471DA">
        <w:rPr>
          <w:rFonts w:ascii="Century Gothic" w:hAnsi="Century Gothic"/>
          <w:b/>
          <w:sz w:val="22"/>
          <w:szCs w:val="22"/>
        </w:rPr>
        <w:t>Objeto da parceria:</w:t>
      </w:r>
      <w:r w:rsidRPr="006471DA">
        <w:rPr>
          <w:rFonts w:ascii="Century Gothic" w:hAnsi="Century Gothic"/>
          <w:sz w:val="22"/>
          <w:szCs w:val="22"/>
        </w:rPr>
        <w:t xml:space="preserve"> </w:t>
      </w:r>
      <w:r w:rsidR="00C93856" w:rsidRPr="00C93856">
        <w:rPr>
          <w:rFonts w:ascii="Century Gothic" w:hAnsi="Century Gothic"/>
          <w:sz w:val="22"/>
          <w:szCs w:val="22"/>
        </w:rPr>
        <w:t>Trata-se de procedimento que tem por objeto a Inexigibilidade de</w:t>
      </w:r>
      <w:r w:rsidR="00C93856">
        <w:rPr>
          <w:rFonts w:ascii="Century Gothic" w:hAnsi="Century Gothic"/>
          <w:sz w:val="22"/>
          <w:szCs w:val="22"/>
        </w:rPr>
        <w:t xml:space="preserve"> </w:t>
      </w:r>
      <w:r w:rsidR="00C93856" w:rsidRPr="00C93856">
        <w:rPr>
          <w:rFonts w:ascii="Century Gothic" w:hAnsi="Century Gothic"/>
          <w:sz w:val="22"/>
          <w:szCs w:val="22"/>
        </w:rPr>
        <w:t>Chamamento Público, com vista à celebração de parceria, a ser executada em regime de</w:t>
      </w:r>
      <w:r w:rsidR="00C93856">
        <w:rPr>
          <w:rFonts w:ascii="Century Gothic" w:hAnsi="Century Gothic"/>
          <w:sz w:val="22"/>
          <w:szCs w:val="22"/>
        </w:rPr>
        <w:t xml:space="preserve"> </w:t>
      </w:r>
      <w:r w:rsidR="00C93856" w:rsidRPr="00C93856">
        <w:rPr>
          <w:rFonts w:ascii="Century Gothic" w:hAnsi="Century Gothic"/>
          <w:sz w:val="22"/>
          <w:szCs w:val="22"/>
        </w:rPr>
        <w:t>mútua cooperação, entre a Prefeitura Municipal de Palmital-PR, por intermédio da Secretaria</w:t>
      </w:r>
      <w:r w:rsidR="00C93856">
        <w:rPr>
          <w:rFonts w:ascii="Century Gothic" w:hAnsi="Century Gothic"/>
          <w:sz w:val="22"/>
          <w:szCs w:val="22"/>
        </w:rPr>
        <w:t xml:space="preserve"> </w:t>
      </w:r>
      <w:r w:rsidR="00C93856" w:rsidRPr="00C93856">
        <w:rPr>
          <w:rFonts w:ascii="Century Gothic" w:hAnsi="Century Gothic"/>
          <w:sz w:val="22"/>
          <w:szCs w:val="22"/>
        </w:rPr>
        <w:t>Municipal de Administração e Finanças, e Conselho Comunitário De Segurança De Palmital</w:t>
      </w:r>
      <w:r w:rsidR="00C93856">
        <w:rPr>
          <w:rFonts w:ascii="Century Gothic" w:hAnsi="Century Gothic"/>
          <w:sz w:val="22"/>
          <w:szCs w:val="22"/>
        </w:rPr>
        <w:t xml:space="preserve"> </w:t>
      </w:r>
      <w:r w:rsidR="00C93856" w:rsidRPr="00C93856">
        <w:rPr>
          <w:rFonts w:ascii="Century Gothic" w:hAnsi="Century Gothic"/>
          <w:sz w:val="22"/>
          <w:szCs w:val="22"/>
        </w:rPr>
        <w:t>- PR denominado popularmente como CONSEG, regularmente constituído, de natureza</w:t>
      </w:r>
      <w:r w:rsidR="00C93856">
        <w:rPr>
          <w:rFonts w:ascii="Century Gothic" w:hAnsi="Century Gothic"/>
          <w:sz w:val="22"/>
          <w:szCs w:val="22"/>
        </w:rPr>
        <w:t xml:space="preserve"> </w:t>
      </w:r>
      <w:r w:rsidR="00C93856" w:rsidRPr="00C93856">
        <w:rPr>
          <w:rFonts w:ascii="Century Gothic" w:hAnsi="Century Gothic"/>
          <w:sz w:val="22"/>
          <w:szCs w:val="22"/>
        </w:rPr>
        <w:t>jurídica de direito privado e sem fins lucrativos, CNPJ sob n° 81.651.143/0001-65</w:t>
      </w:r>
      <w:r w:rsidR="00C93856">
        <w:rPr>
          <w:rFonts w:ascii="Century Gothic" w:hAnsi="Century Gothic"/>
          <w:sz w:val="22"/>
          <w:szCs w:val="22"/>
        </w:rPr>
        <w:t>.</w:t>
      </w:r>
    </w:p>
    <w:p w:rsidR="00C93856" w:rsidRDefault="00C93856" w:rsidP="00C93856">
      <w:pPr>
        <w:pStyle w:val="Padro"/>
        <w:spacing w:before="100" w:beforeAutospacing="1" w:after="100" w:afterAutospacing="1" w:line="312" w:lineRule="auto"/>
        <w:rPr>
          <w:rFonts w:ascii="Century Gothic" w:hAnsi="Century Gothic" w:cs="Arial"/>
          <w:sz w:val="22"/>
          <w:szCs w:val="22"/>
        </w:rPr>
      </w:pPr>
      <w:r w:rsidRPr="00C93856">
        <w:rPr>
          <w:rFonts w:ascii="Century Gothic" w:hAnsi="Century Gothic" w:cs="Arial"/>
          <w:sz w:val="22"/>
          <w:szCs w:val="22"/>
        </w:rPr>
        <w:t>O objetivo do Termo de Cooperação é o Repasse de Recursos Financeiros ao CONSEG,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C93856">
        <w:rPr>
          <w:rFonts w:ascii="Century Gothic" w:hAnsi="Century Gothic" w:cs="Arial"/>
          <w:sz w:val="22"/>
          <w:szCs w:val="22"/>
        </w:rPr>
        <w:t>destinados a custear despesas correntes para a manutenção e funcionamento da entidade,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C93856">
        <w:rPr>
          <w:rFonts w:ascii="Century Gothic" w:hAnsi="Century Gothic" w:cs="Arial"/>
          <w:sz w:val="22"/>
          <w:szCs w:val="22"/>
        </w:rPr>
        <w:t>bem como atividades diversas relacionadas à garantia da segurança pública no município,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C93856">
        <w:rPr>
          <w:rFonts w:ascii="Century Gothic" w:hAnsi="Century Gothic" w:cs="Arial"/>
          <w:sz w:val="22"/>
          <w:szCs w:val="22"/>
        </w:rPr>
        <w:t>entre as quais aquisição de armas e munições para as polícias Civil e Militar</w:t>
      </w:r>
      <w:r>
        <w:rPr>
          <w:rFonts w:ascii="Century Gothic" w:hAnsi="Century Gothic" w:cs="Arial"/>
          <w:sz w:val="22"/>
          <w:szCs w:val="22"/>
        </w:rPr>
        <w:t>.</w:t>
      </w:r>
    </w:p>
    <w:p w:rsidR="005F7EC7" w:rsidRPr="005F7EC7" w:rsidRDefault="007722F9" w:rsidP="005F7EC7">
      <w:pPr>
        <w:pStyle w:val="Padro"/>
        <w:spacing w:before="100" w:beforeAutospacing="1" w:after="100" w:afterAutospacing="1" w:line="312" w:lineRule="auto"/>
        <w:rPr>
          <w:rFonts w:ascii="Century Gothic" w:hAnsi="Century Gothic" w:cs="Arial"/>
          <w:sz w:val="22"/>
          <w:szCs w:val="22"/>
        </w:rPr>
      </w:pPr>
      <w:r w:rsidRPr="005F7EC7">
        <w:rPr>
          <w:rFonts w:ascii="Century Gothic" w:hAnsi="Century Gothic" w:cs="Arial"/>
          <w:b/>
          <w:sz w:val="22"/>
          <w:szCs w:val="22"/>
        </w:rPr>
        <w:t>Fundamento Legal da Inexigibilidade do Chamamento Público</w:t>
      </w:r>
      <w:r w:rsidRPr="007722F9">
        <w:rPr>
          <w:rFonts w:ascii="Century Gothic" w:hAnsi="Century Gothic" w:cs="Arial"/>
          <w:sz w:val="22"/>
          <w:szCs w:val="22"/>
        </w:rPr>
        <w:t xml:space="preserve">: </w:t>
      </w:r>
      <w:r w:rsidR="005F7EC7" w:rsidRPr="005F7EC7">
        <w:rPr>
          <w:rFonts w:ascii="Century Gothic" w:hAnsi="Century Gothic" w:cs="Arial"/>
          <w:sz w:val="22"/>
          <w:szCs w:val="22"/>
        </w:rPr>
        <w:t>O fundamento principal</w:t>
      </w:r>
      <w:r w:rsidR="005F7EC7">
        <w:rPr>
          <w:rFonts w:ascii="Century Gothic" w:hAnsi="Century Gothic" w:cs="Arial"/>
          <w:sz w:val="22"/>
          <w:szCs w:val="22"/>
        </w:rPr>
        <w:t xml:space="preserve"> </w:t>
      </w:r>
      <w:r w:rsidR="005F7EC7" w:rsidRPr="005F7EC7">
        <w:rPr>
          <w:rFonts w:ascii="Century Gothic" w:hAnsi="Century Gothic" w:cs="Arial"/>
          <w:sz w:val="22"/>
          <w:szCs w:val="22"/>
        </w:rPr>
        <w:t>para a presente iniciativa</w:t>
      </w:r>
      <w:proofErr w:type="gramStart"/>
      <w:r w:rsidR="005F7EC7" w:rsidRPr="005F7EC7">
        <w:rPr>
          <w:rFonts w:ascii="Century Gothic" w:hAnsi="Century Gothic" w:cs="Arial"/>
          <w:sz w:val="22"/>
          <w:szCs w:val="22"/>
        </w:rPr>
        <w:t>, baseia-se</w:t>
      </w:r>
      <w:proofErr w:type="gramEnd"/>
      <w:r w:rsidR="005F7EC7" w:rsidRPr="005F7EC7">
        <w:rPr>
          <w:rFonts w:ascii="Century Gothic" w:hAnsi="Century Gothic" w:cs="Arial"/>
          <w:sz w:val="22"/>
          <w:szCs w:val="22"/>
        </w:rPr>
        <w:t xml:space="preserve"> do art. 31 da Lei n. 13.019, de 31 de julho de 2014,</w:t>
      </w:r>
      <w:r w:rsidR="005F7EC7">
        <w:rPr>
          <w:rFonts w:ascii="Century Gothic" w:hAnsi="Century Gothic" w:cs="Arial"/>
          <w:sz w:val="22"/>
          <w:szCs w:val="22"/>
        </w:rPr>
        <w:t xml:space="preserve"> </w:t>
      </w:r>
      <w:r w:rsidR="005F7EC7" w:rsidRPr="005F7EC7">
        <w:rPr>
          <w:rFonts w:ascii="Century Gothic" w:hAnsi="Century Gothic" w:cs="Arial"/>
          <w:sz w:val="22"/>
          <w:szCs w:val="22"/>
        </w:rPr>
        <w:t>alterada pela Lei n. 13.204/2015 - que estabelece o regime jurídico das parcerias</w:t>
      </w:r>
      <w:r w:rsidR="005F7EC7">
        <w:rPr>
          <w:rFonts w:ascii="Century Gothic" w:hAnsi="Century Gothic" w:cs="Arial"/>
          <w:sz w:val="22"/>
          <w:szCs w:val="22"/>
        </w:rPr>
        <w:t xml:space="preserve"> </w:t>
      </w:r>
      <w:r w:rsidR="005F7EC7" w:rsidRPr="005F7EC7">
        <w:rPr>
          <w:rFonts w:ascii="Century Gothic" w:hAnsi="Century Gothic" w:cs="Arial"/>
          <w:sz w:val="22"/>
          <w:szCs w:val="22"/>
        </w:rPr>
        <w:t>voluntárias, envolvendo ou não transferências de recursos financeiros, entre a</w:t>
      </w:r>
      <w:r w:rsidR="005F7EC7">
        <w:rPr>
          <w:rFonts w:ascii="Century Gothic" w:hAnsi="Century Gothic" w:cs="Arial"/>
          <w:sz w:val="22"/>
          <w:szCs w:val="22"/>
        </w:rPr>
        <w:t xml:space="preserve"> </w:t>
      </w:r>
      <w:r w:rsidR="005F7EC7" w:rsidRPr="005F7EC7">
        <w:rPr>
          <w:rFonts w:ascii="Century Gothic" w:hAnsi="Century Gothic" w:cs="Arial"/>
          <w:sz w:val="22"/>
          <w:szCs w:val="22"/>
        </w:rPr>
        <w:t>Administração Pública e as organizações da sociedade civil, onde será inexigível o</w:t>
      </w:r>
      <w:r w:rsidR="005F7EC7">
        <w:rPr>
          <w:rFonts w:ascii="Century Gothic" w:hAnsi="Century Gothic" w:cs="Arial"/>
          <w:sz w:val="22"/>
          <w:szCs w:val="22"/>
        </w:rPr>
        <w:t xml:space="preserve"> </w:t>
      </w:r>
      <w:r w:rsidR="005F7EC7" w:rsidRPr="005F7EC7">
        <w:rPr>
          <w:rFonts w:ascii="Century Gothic" w:hAnsi="Century Gothic" w:cs="Arial"/>
          <w:sz w:val="22"/>
          <w:szCs w:val="22"/>
        </w:rPr>
        <w:t>chamamento público na hipótese de inviabilidade de competição entre as organizações da</w:t>
      </w:r>
      <w:r w:rsidR="005F7EC7">
        <w:rPr>
          <w:rFonts w:ascii="Century Gothic" w:hAnsi="Century Gothic" w:cs="Arial"/>
          <w:sz w:val="22"/>
          <w:szCs w:val="22"/>
        </w:rPr>
        <w:t xml:space="preserve"> </w:t>
      </w:r>
      <w:r w:rsidR="005F7EC7" w:rsidRPr="005F7EC7">
        <w:rPr>
          <w:rFonts w:ascii="Century Gothic" w:hAnsi="Century Gothic" w:cs="Arial"/>
          <w:sz w:val="22"/>
          <w:szCs w:val="22"/>
        </w:rPr>
        <w:t>sociedade civil, em razão da natureza singular do objeto da parceria ou se as metas</w:t>
      </w:r>
      <w:r w:rsidR="005F7EC7">
        <w:rPr>
          <w:rFonts w:ascii="Century Gothic" w:hAnsi="Century Gothic" w:cs="Arial"/>
          <w:sz w:val="22"/>
          <w:szCs w:val="22"/>
        </w:rPr>
        <w:t xml:space="preserve"> </w:t>
      </w:r>
      <w:r w:rsidR="005F7EC7" w:rsidRPr="005F7EC7">
        <w:rPr>
          <w:rFonts w:ascii="Century Gothic" w:hAnsi="Century Gothic" w:cs="Arial"/>
          <w:sz w:val="22"/>
          <w:szCs w:val="22"/>
        </w:rPr>
        <w:t>somente puderem ser atingidas por uma entidade especifica.</w:t>
      </w:r>
    </w:p>
    <w:p w:rsidR="007722F9" w:rsidRDefault="005F7EC7" w:rsidP="005F7EC7">
      <w:pPr>
        <w:pStyle w:val="Padro"/>
        <w:spacing w:before="100" w:beforeAutospacing="1" w:after="100" w:afterAutospacing="1" w:line="312" w:lineRule="auto"/>
        <w:rPr>
          <w:rFonts w:ascii="Century Gothic" w:hAnsi="Century Gothic" w:cs="Arial"/>
          <w:sz w:val="22"/>
          <w:szCs w:val="22"/>
        </w:rPr>
      </w:pPr>
      <w:r w:rsidRPr="005F7EC7">
        <w:rPr>
          <w:rFonts w:ascii="Century Gothic" w:hAnsi="Century Gothic" w:cs="Arial"/>
          <w:sz w:val="22"/>
          <w:szCs w:val="22"/>
        </w:rPr>
        <w:t>Encontra ainda fundamento no art. 31, inciso II da Lei 13.109/2014 que declara ser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5F7EC7">
        <w:rPr>
          <w:rFonts w:ascii="Century Gothic" w:hAnsi="Century Gothic" w:cs="Arial"/>
          <w:sz w:val="22"/>
          <w:szCs w:val="22"/>
        </w:rPr>
        <w:t>inexigível o Cham</w:t>
      </w:r>
      <w:r>
        <w:rPr>
          <w:rFonts w:ascii="Century Gothic" w:hAnsi="Century Gothic" w:cs="Arial"/>
          <w:sz w:val="22"/>
          <w:szCs w:val="22"/>
        </w:rPr>
        <w:t>am</w:t>
      </w:r>
      <w:r w:rsidRPr="005F7EC7">
        <w:rPr>
          <w:rFonts w:ascii="Century Gothic" w:hAnsi="Century Gothic" w:cs="Arial"/>
          <w:sz w:val="22"/>
          <w:szCs w:val="22"/>
        </w:rPr>
        <w:t xml:space="preserve">ento Público quando “a parceria decorrer de transferência </w:t>
      </w:r>
      <w:r w:rsidRPr="005F7EC7">
        <w:rPr>
          <w:rFonts w:ascii="Century Gothic" w:hAnsi="Century Gothic" w:cs="Arial"/>
          <w:sz w:val="22"/>
          <w:szCs w:val="22"/>
        </w:rPr>
        <w:lastRenderedPageBreak/>
        <w:t>para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5F7EC7">
        <w:rPr>
          <w:rFonts w:ascii="Century Gothic" w:hAnsi="Century Gothic" w:cs="Arial"/>
          <w:sz w:val="22"/>
          <w:szCs w:val="22"/>
        </w:rPr>
        <w:t>organização da sociedade civil que esteja autorizada em lei na qual seja identificada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5F7EC7">
        <w:rPr>
          <w:rFonts w:ascii="Century Gothic" w:hAnsi="Century Gothic" w:cs="Arial"/>
          <w:sz w:val="22"/>
          <w:szCs w:val="22"/>
        </w:rPr>
        <w:t>expressamente a entidade beneficiária”, que no caso em é a Lei Municipal nº 907/2013.</w:t>
      </w:r>
    </w:p>
    <w:p w:rsidR="00AE4846" w:rsidRPr="00AE4846" w:rsidRDefault="00B20C01" w:rsidP="00AE4846">
      <w:pPr>
        <w:pStyle w:val="Padro"/>
        <w:spacing w:before="100" w:beforeAutospacing="1" w:after="100" w:afterAutospacing="1" w:line="312" w:lineRule="auto"/>
        <w:rPr>
          <w:rFonts w:ascii="Century Gothic" w:hAnsi="Century Gothic"/>
          <w:sz w:val="22"/>
          <w:szCs w:val="22"/>
        </w:rPr>
      </w:pPr>
      <w:r w:rsidRPr="001F7C3B">
        <w:rPr>
          <w:rFonts w:ascii="Century Gothic" w:hAnsi="Century Gothic" w:cs="Arial"/>
          <w:b/>
          <w:sz w:val="22"/>
          <w:szCs w:val="22"/>
        </w:rPr>
        <w:t>Justificativa da Inexigibilidade do Chamamento Públic</w:t>
      </w:r>
      <w:r w:rsidR="007D688A" w:rsidRPr="001F7C3B">
        <w:rPr>
          <w:rFonts w:ascii="Century Gothic" w:hAnsi="Century Gothic" w:cs="Arial"/>
          <w:b/>
          <w:sz w:val="22"/>
          <w:szCs w:val="22"/>
        </w:rPr>
        <w:t>o:</w:t>
      </w:r>
      <w:proofErr w:type="gramStart"/>
      <w:r w:rsidR="007D688A" w:rsidRPr="001F7C3B">
        <w:rPr>
          <w:rFonts w:ascii="Century Gothic" w:hAnsi="Century Gothic" w:cs="Arial"/>
          <w:b/>
          <w:sz w:val="22"/>
          <w:szCs w:val="22"/>
        </w:rPr>
        <w:t xml:space="preserve"> </w:t>
      </w:r>
      <w:r w:rsidR="001F7C3B" w:rsidRPr="001F7C3B">
        <w:rPr>
          <w:rFonts w:ascii="Century Gothic" w:hAnsi="Century Gothic" w:cs="Arial"/>
          <w:b/>
          <w:sz w:val="22"/>
          <w:szCs w:val="22"/>
        </w:rPr>
        <w:t xml:space="preserve">  </w:t>
      </w:r>
      <w:proofErr w:type="gramEnd"/>
      <w:r w:rsidR="00AE4846" w:rsidRPr="00AE4846">
        <w:rPr>
          <w:rFonts w:ascii="Century Gothic" w:hAnsi="Century Gothic"/>
          <w:sz w:val="22"/>
          <w:szCs w:val="22"/>
        </w:rPr>
        <w:t>A atividade desenvolvida pelo</w:t>
      </w:r>
      <w:r w:rsidR="00AE4846">
        <w:rPr>
          <w:rFonts w:ascii="Century Gothic" w:hAnsi="Century Gothic"/>
          <w:sz w:val="22"/>
          <w:szCs w:val="22"/>
        </w:rPr>
        <w:t xml:space="preserve"> </w:t>
      </w:r>
      <w:r w:rsidR="00AE4846" w:rsidRPr="00AE4846">
        <w:rPr>
          <w:rFonts w:ascii="Century Gothic" w:hAnsi="Century Gothic"/>
          <w:sz w:val="22"/>
          <w:szCs w:val="22"/>
        </w:rPr>
        <w:t>CONSEG é totalmente relevante ao interesse público uma vez é de conhecimento de toda</w:t>
      </w:r>
      <w:r w:rsidR="00AE4846">
        <w:rPr>
          <w:rFonts w:ascii="Century Gothic" w:hAnsi="Century Gothic"/>
          <w:sz w:val="22"/>
          <w:szCs w:val="22"/>
        </w:rPr>
        <w:t xml:space="preserve"> </w:t>
      </w:r>
      <w:r w:rsidR="00AE4846" w:rsidRPr="00AE4846">
        <w:rPr>
          <w:rFonts w:ascii="Century Gothic" w:hAnsi="Century Gothic"/>
          <w:sz w:val="22"/>
          <w:szCs w:val="22"/>
        </w:rPr>
        <w:t>comunidade o aumento da criminalidade em nosso Município, que recentemente foi alvo de</w:t>
      </w:r>
      <w:r w:rsidR="00AE4846">
        <w:rPr>
          <w:rFonts w:ascii="Century Gothic" w:hAnsi="Century Gothic"/>
          <w:sz w:val="22"/>
          <w:szCs w:val="22"/>
        </w:rPr>
        <w:t xml:space="preserve"> </w:t>
      </w:r>
      <w:r w:rsidR="00AE4846" w:rsidRPr="00AE4846">
        <w:rPr>
          <w:rFonts w:ascii="Century Gothic" w:hAnsi="Century Gothic"/>
          <w:sz w:val="22"/>
          <w:szCs w:val="22"/>
        </w:rPr>
        <w:t>assaltos à banco com notória repercussão social e midiática, bem como aumento de</w:t>
      </w:r>
      <w:r w:rsidR="00AE4846">
        <w:rPr>
          <w:rFonts w:ascii="Century Gothic" w:hAnsi="Century Gothic"/>
          <w:sz w:val="22"/>
          <w:szCs w:val="22"/>
        </w:rPr>
        <w:t xml:space="preserve"> </w:t>
      </w:r>
      <w:r w:rsidR="00AE4846" w:rsidRPr="00AE4846">
        <w:rPr>
          <w:rFonts w:ascii="Century Gothic" w:hAnsi="Century Gothic"/>
          <w:sz w:val="22"/>
          <w:szCs w:val="22"/>
        </w:rPr>
        <w:t>pequenos furtos e assaltos.</w:t>
      </w:r>
    </w:p>
    <w:p w:rsidR="00AE4846" w:rsidRPr="00AE4846" w:rsidRDefault="00AE4846" w:rsidP="00AE4846">
      <w:pPr>
        <w:pStyle w:val="Padro"/>
        <w:spacing w:before="100" w:beforeAutospacing="1" w:after="100" w:afterAutospacing="1" w:line="312" w:lineRule="auto"/>
        <w:rPr>
          <w:rFonts w:ascii="Century Gothic" w:hAnsi="Century Gothic"/>
          <w:sz w:val="22"/>
          <w:szCs w:val="22"/>
        </w:rPr>
      </w:pPr>
      <w:r w:rsidRPr="00AE4846">
        <w:rPr>
          <w:rFonts w:ascii="Century Gothic" w:hAnsi="Century Gothic"/>
          <w:sz w:val="22"/>
          <w:szCs w:val="22"/>
        </w:rPr>
        <w:t>O Conselho Municipal de Segurança Pública tem como objetivos estabelecer diretrizes e</w:t>
      </w:r>
      <w:r>
        <w:rPr>
          <w:rFonts w:ascii="Century Gothic" w:hAnsi="Century Gothic"/>
          <w:sz w:val="22"/>
          <w:szCs w:val="22"/>
        </w:rPr>
        <w:t xml:space="preserve"> </w:t>
      </w:r>
      <w:r w:rsidRPr="00AE4846">
        <w:rPr>
          <w:rFonts w:ascii="Century Gothic" w:hAnsi="Century Gothic"/>
          <w:sz w:val="22"/>
          <w:szCs w:val="22"/>
        </w:rPr>
        <w:t xml:space="preserve">prioridades visando </w:t>
      </w:r>
      <w:proofErr w:type="gramStart"/>
      <w:r w:rsidRPr="00AE4846">
        <w:rPr>
          <w:rFonts w:ascii="Century Gothic" w:hAnsi="Century Gothic"/>
          <w:sz w:val="22"/>
          <w:szCs w:val="22"/>
        </w:rPr>
        <w:t>a</w:t>
      </w:r>
      <w:proofErr w:type="gramEnd"/>
      <w:r w:rsidRPr="00AE4846">
        <w:rPr>
          <w:rFonts w:ascii="Century Gothic" w:hAnsi="Century Gothic"/>
          <w:sz w:val="22"/>
          <w:szCs w:val="22"/>
        </w:rPr>
        <w:t xml:space="preserve"> melhoria da Segurança e aos programas e ações integradas de</w:t>
      </w:r>
      <w:r>
        <w:rPr>
          <w:rFonts w:ascii="Century Gothic" w:hAnsi="Century Gothic"/>
          <w:sz w:val="22"/>
          <w:szCs w:val="22"/>
        </w:rPr>
        <w:t xml:space="preserve"> </w:t>
      </w:r>
      <w:r w:rsidRPr="00AE4846">
        <w:rPr>
          <w:rFonts w:ascii="Century Gothic" w:hAnsi="Century Gothic"/>
          <w:sz w:val="22"/>
          <w:szCs w:val="22"/>
        </w:rPr>
        <w:t>segurança pública no município de Palmital-PR envolvendo organismos municipais,</w:t>
      </w:r>
      <w:r>
        <w:rPr>
          <w:rFonts w:ascii="Century Gothic" w:hAnsi="Century Gothic"/>
          <w:sz w:val="22"/>
          <w:szCs w:val="22"/>
        </w:rPr>
        <w:t xml:space="preserve"> </w:t>
      </w:r>
      <w:r w:rsidRPr="00AE4846">
        <w:rPr>
          <w:rFonts w:ascii="Century Gothic" w:hAnsi="Century Gothic"/>
          <w:sz w:val="22"/>
          <w:szCs w:val="22"/>
        </w:rPr>
        <w:t>estaduais, federais e da sociedade, inclusive e especialmente os de natureza preventiva;</w:t>
      </w:r>
    </w:p>
    <w:p w:rsidR="00B20C01" w:rsidRPr="007D688A" w:rsidRDefault="00AE4846" w:rsidP="00AE4846">
      <w:pPr>
        <w:pStyle w:val="Padro"/>
        <w:spacing w:before="100" w:beforeAutospacing="1" w:after="100" w:afterAutospacing="1" w:line="312" w:lineRule="auto"/>
        <w:rPr>
          <w:rFonts w:ascii="Century Gothic" w:hAnsi="Century Gothic" w:cs="Arial"/>
          <w:sz w:val="22"/>
          <w:szCs w:val="22"/>
        </w:rPr>
      </w:pPr>
      <w:r w:rsidRPr="00AE4846">
        <w:rPr>
          <w:rFonts w:ascii="Century Gothic" w:hAnsi="Century Gothic"/>
          <w:sz w:val="22"/>
          <w:szCs w:val="22"/>
        </w:rPr>
        <w:t xml:space="preserve">A importância do CONSEG é evidente, pois a ele compete Coordenar e deliberar sobre </w:t>
      </w:r>
      <w:proofErr w:type="gramStart"/>
      <w:r w:rsidRPr="00AE4846">
        <w:rPr>
          <w:rFonts w:ascii="Century Gothic" w:hAnsi="Century Gothic"/>
          <w:sz w:val="22"/>
          <w:szCs w:val="22"/>
        </w:rPr>
        <w:t>os</w:t>
      </w:r>
      <w:r>
        <w:rPr>
          <w:rFonts w:ascii="Century Gothic" w:hAnsi="Century Gothic"/>
          <w:sz w:val="22"/>
          <w:szCs w:val="22"/>
        </w:rPr>
        <w:t xml:space="preserve"> </w:t>
      </w:r>
      <w:r w:rsidRPr="00AE4846">
        <w:rPr>
          <w:rFonts w:ascii="Century Gothic" w:hAnsi="Century Gothic"/>
          <w:sz w:val="22"/>
          <w:szCs w:val="22"/>
        </w:rPr>
        <w:t>assuntos pertinentes, observadas</w:t>
      </w:r>
      <w:proofErr w:type="gramEnd"/>
      <w:r w:rsidRPr="00AE4846">
        <w:rPr>
          <w:rFonts w:ascii="Century Gothic" w:hAnsi="Century Gothic"/>
          <w:sz w:val="22"/>
          <w:szCs w:val="22"/>
        </w:rPr>
        <w:t xml:space="preserve"> as competências e autonomias institucionais e os demais</w:t>
      </w:r>
      <w:r>
        <w:rPr>
          <w:rFonts w:ascii="Century Gothic" w:hAnsi="Century Gothic"/>
          <w:sz w:val="22"/>
          <w:szCs w:val="22"/>
        </w:rPr>
        <w:t xml:space="preserve"> </w:t>
      </w:r>
      <w:r w:rsidRPr="00AE4846">
        <w:rPr>
          <w:rFonts w:ascii="Century Gothic" w:hAnsi="Century Gothic"/>
          <w:sz w:val="22"/>
          <w:szCs w:val="22"/>
        </w:rPr>
        <w:t>convênios bilaterais correlatos existentes; Verificar os índices municipais de Violência e</w:t>
      </w:r>
      <w:r>
        <w:rPr>
          <w:rFonts w:ascii="Century Gothic" w:hAnsi="Century Gothic"/>
          <w:sz w:val="22"/>
          <w:szCs w:val="22"/>
        </w:rPr>
        <w:t xml:space="preserve"> </w:t>
      </w:r>
      <w:r w:rsidRPr="00AE4846">
        <w:rPr>
          <w:rFonts w:ascii="Century Gothic" w:hAnsi="Century Gothic"/>
          <w:sz w:val="22"/>
          <w:szCs w:val="22"/>
        </w:rPr>
        <w:t>Segurança; dar diretrizes para a expansão do Sistema de Monitoramento Eletrônico; definir</w:t>
      </w:r>
      <w:r>
        <w:rPr>
          <w:rFonts w:ascii="Century Gothic" w:hAnsi="Century Gothic"/>
          <w:sz w:val="22"/>
          <w:szCs w:val="22"/>
        </w:rPr>
        <w:t xml:space="preserve"> </w:t>
      </w:r>
      <w:r w:rsidRPr="00AE4846">
        <w:rPr>
          <w:rFonts w:ascii="Century Gothic" w:hAnsi="Century Gothic"/>
          <w:sz w:val="22"/>
          <w:szCs w:val="22"/>
        </w:rPr>
        <w:t>prioridades para o auxílio e orientação dos profissionais que atuam na segurança pública e</w:t>
      </w:r>
      <w:r>
        <w:rPr>
          <w:rFonts w:ascii="Century Gothic" w:hAnsi="Century Gothic"/>
          <w:sz w:val="22"/>
          <w:szCs w:val="22"/>
        </w:rPr>
        <w:t xml:space="preserve"> </w:t>
      </w:r>
      <w:r w:rsidRPr="00AE4846">
        <w:rPr>
          <w:rFonts w:ascii="Century Gothic" w:hAnsi="Century Gothic"/>
          <w:sz w:val="22"/>
          <w:szCs w:val="22"/>
        </w:rPr>
        <w:t>nas ações preventivas</w:t>
      </w:r>
      <w:r w:rsidR="00A653CD" w:rsidRPr="007D688A">
        <w:rPr>
          <w:rFonts w:ascii="Century Gothic" w:hAnsi="Century Gothic" w:cs="Arial"/>
          <w:sz w:val="22"/>
          <w:szCs w:val="22"/>
        </w:rPr>
        <w:t>.</w:t>
      </w:r>
    </w:p>
    <w:p w:rsidR="00AA18B4" w:rsidRDefault="000329FF" w:rsidP="00AA18B4">
      <w:pPr>
        <w:pStyle w:val="Padro"/>
        <w:spacing w:before="100" w:beforeAutospacing="1" w:after="100" w:afterAutospacing="1" w:line="312" w:lineRule="auto"/>
        <w:rPr>
          <w:rFonts w:ascii="Century Gothic" w:hAnsi="Century Gothic" w:cs="Arial"/>
          <w:sz w:val="22"/>
          <w:szCs w:val="22"/>
        </w:rPr>
      </w:pPr>
      <w:r w:rsidRPr="007D688A">
        <w:rPr>
          <w:rFonts w:ascii="Century Gothic" w:hAnsi="Century Gothic" w:cs="Arial"/>
          <w:sz w:val="22"/>
          <w:szCs w:val="22"/>
        </w:rPr>
        <w:t xml:space="preserve">Valor da parceria: até </w:t>
      </w:r>
      <w:r w:rsidR="00AA18B4" w:rsidRPr="00AA18B4">
        <w:rPr>
          <w:rFonts w:ascii="Century Gothic" w:hAnsi="Century Gothic" w:cs="Arial"/>
          <w:sz w:val="22"/>
          <w:szCs w:val="22"/>
        </w:rPr>
        <w:t xml:space="preserve">R$ </w:t>
      </w:r>
      <w:r w:rsidR="00AE4846">
        <w:rPr>
          <w:rFonts w:ascii="Century Gothic" w:hAnsi="Century Gothic" w:cs="Arial"/>
          <w:sz w:val="22"/>
          <w:szCs w:val="22"/>
        </w:rPr>
        <w:t xml:space="preserve">48.000,00 </w:t>
      </w:r>
      <w:r w:rsidR="00AA18B4" w:rsidRPr="00AA18B4">
        <w:rPr>
          <w:rFonts w:ascii="Century Gothic" w:hAnsi="Century Gothic" w:cs="Arial"/>
          <w:sz w:val="22"/>
          <w:szCs w:val="22"/>
        </w:rPr>
        <w:t>(</w:t>
      </w:r>
      <w:r w:rsidR="00AE4846">
        <w:rPr>
          <w:rFonts w:ascii="Century Gothic" w:hAnsi="Century Gothic" w:cs="Arial"/>
          <w:sz w:val="22"/>
          <w:szCs w:val="22"/>
        </w:rPr>
        <w:t>quarenta e oito mil reais</w:t>
      </w:r>
      <w:r w:rsidR="00AA18B4" w:rsidRPr="00AA18B4">
        <w:rPr>
          <w:rFonts w:ascii="Century Gothic" w:hAnsi="Century Gothic" w:cs="Arial"/>
          <w:sz w:val="22"/>
          <w:szCs w:val="22"/>
        </w:rPr>
        <w:t>).</w:t>
      </w:r>
    </w:p>
    <w:p w:rsidR="00AA18B4" w:rsidRDefault="00AA18B4" w:rsidP="00AA18B4">
      <w:pPr>
        <w:pStyle w:val="Padro"/>
        <w:spacing w:before="100" w:beforeAutospacing="1" w:after="100" w:afterAutospacing="1" w:line="312" w:lineRule="auto"/>
        <w:rPr>
          <w:rFonts w:ascii="Century Gothic" w:hAnsi="Century Gothic" w:cs="Arial"/>
          <w:sz w:val="22"/>
          <w:szCs w:val="22"/>
        </w:rPr>
      </w:pPr>
    </w:p>
    <w:p w:rsidR="00812619" w:rsidRPr="00280251" w:rsidRDefault="00812619" w:rsidP="00AA18B4">
      <w:pPr>
        <w:pStyle w:val="Padro"/>
        <w:spacing w:before="100" w:beforeAutospacing="1" w:after="100" w:afterAutospacing="1" w:line="312" w:lineRule="auto"/>
        <w:jc w:val="center"/>
        <w:rPr>
          <w:rFonts w:ascii="Century Gothic" w:hAnsi="Century Gothic"/>
          <w:sz w:val="22"/>
          <w:szCs w:val="22"/>
        </w:rPr>
      </w:pPr>
      <w:r w:rsidRPr="00280251">
        <w:rPr>
          <w:rFonts w:ascii="Century Gothic" w:hAnsi="Century Gothic" w:cs="Arial"/>
          <w:sz w:val="22"/>
          <w:szCs w:val="22"/>
        </w:rPr>
        <w:t xml:space="preserve">Palmital-PR, </w:t>
      </w:r>
      <w:r w:rsidR="00AE4846">
        <w:rPr>
          <w:rFonts w:ascii="Century Gothic" w:hAnsi="Century Gothic" w:cs="Arial"/>
          <w:sz w:val="22"/>
          <w:szCs w:val="22"/>
        </w:rPr>
        <w:t>13</w:t>
      </w:r>
      <w:r>
        <w:rPr>
          <w:rFonts w:ascii="Century Gothic" w:hAnsi="Century Gothic" w:cs="Arial"/>
          <w:sz w:val="22"/>
          <w:szCs w:val="22"/>
        </w:rPr>
        <w:t xml:space="preserve"> de </w:t>
      </w:r>
      <w:r w:rsidR="00AE4846">
        <w:rPr>
          <w:rFonts w:ascii="Century Gothic" w:hAnsi="Century Gothic" w:cs="Arial"/>
          <w:sz w:val="22"/>
          <w:szCs w:val="22"/>
        </w:rPr>
        <w:t>Junho</w:t>
      </w:r>
      <w:r>
        <w:rPr>
          <w:rFonts w:ascii="Century Gothic" w:hAnsi="Century Gothic" w:cs="Arial"/>
          <w:sz w:val="22"/>
          <w:szCs w:val="22"/>
        </w:rPr>
        <w:t xml:space="preserve"> de 20</w:t>
      </w:r>
      <w:r w:rsidR="007D688A">
        <w:rPr>
          <w:rFonts w:ascii="Century Gothic" w:hAnsi="Century Gothic" w:cs="Arial"/>
          <w:sz w:val="22"/>
          <w:szCs w:val="22"/>
        </w:rPr>
        <w:t>2</w:t>
      </w:r>
      <w:r w:rsidR="000E0FB6">
        <w:rPr>
          <w:rFonts w:ascii="Century Gothic" w:hAnsi="Century Gothic" w:cs="Arial"/>
          <w:sz w:val="22"/>
          <w:szCs w:val="22"/>
        </w:rPr>
        <w:t>3</w:t>
      </w:r>
      <w:r>
        <w:rPr>
          <w:rFonts w:ascii="Century Gothic" w:hAnsi="Century Gothic" w:cs="Arial"/>
          <w:sz w:val="22"/>
          <w:szCs w:val="22"/>
        </w:rPr>
        <w:t>.</w:t>
      </w:r>
    </w:p>
    <w:p w:rsidR="00812619" w:rsidRDefault="00812619" w:rsidP="00812619">
      <w:pPr>
        <w:pStyle w:val="NormalWeb"/>
        <w:spacing w:before="0" w:beforeAutospacing="0" w:after="0" w:afterAutospacing="0" w:line="312" w:lineRule="auto"/>
        <w:ind w:firstLine="2835"/>
        <w:jc w:val="both"/>
        <w:rPr>
          <w:rStyle w:val="Forte"/>
          <w:sz w:val="22"/>
          <w:szCs w:val="22"/>
        </w:rPr>
      </w:pPr>
    </w:p>
    <w:p w:rsidR="00812619" w:rsidRPr="00280251" w:rsidRDefault="00812619" w:rsidP="00812619">
      <w:pPr>
        <w:pStyle w:val="NormalWeb"/>
        <w:spacing w:before="0" w:beforeAutospacing="0" w:after="0" w:afterAutospacing="0" w:line="312" w:lineRule="auto"/>
        <w:ind w:firstLine="2835"/>
        <w:jc w:val="both"/>
        <w:rPr>
          <w:rStyle w:val="Forte"/>
          <w:sz w:val="22"/>
          <w:szCs w:val="22"/>
        </w:rPr>
      </w:pPr>
    </w:p>
    <w:p w:rsidR="00812619" w:rsidRPr="00280251" w:rsidRDefault="00812619" w:rsidP="00812619">
      <w:pPr>
        <w:pStyle w:val="NormalWeb"/>
        <w:spacing w:before="0" w:beforeAutospacing="0" w:after="0" w:afterAutospacing="0" w:line="312" w:lineRule="auto"/>
        <w:ind w:firstLine="2835"/>
        <w:jc w:val="both"/>
        <w:rPr>
          <w:rStyle w:val="Forte"/>
          <w:rFonts w:ascii="Century Gothic" w:hAnsi="Century Gothic"/>
          <w:sz w:val="22"/>
          <w:szCs w:val="22"/>
        </w:rPr>
      </w:pPr>
    </w:p>
    <w:p w:rsidR="00812619" w:rsidRPr="00280251" w:rsidRDefault="00812619" w:rsidP="00812619">
      <w:pPr>
        <w:pStyle w:val="NormalWeb"/>
        <w:spacing w:before="0" w:beforeAutospacing="0" w:after="0" w:afterAutospacing="0" w:line="312" w:lineRule="auto"/>
        <w:jc w:val="center"/>
        <w:rPr>
          <w:rStyle w:val="Forte"/>
          <w:rFonts w:ascii="Century Gothic" w:hAnsi="Century Gothic"/>
          <w:sz w:val="22"/>
          <w:szCs w:val="22"/>
        </w:rPr>
      </w:pPr>
      <w:r>
        <w:rPr>
          <w:rStyle w:val="Forte"/>
          <w:rFonts w:ascii="Century Gothic" w:hAnsi="Century Gothic"/>
          <w:sz w:val="22"/>
          <w:szCs w:val="22"/>
        </w:rPr>
        <w:t>VALDENEI DE SOUZA</w:t>
      </w:r>
    </w:p>
    <w:p w:rsidR="00812619" w:rsidRPr="00280251" w:rsidRDefault="00812619" w:rsidP="00812619">
      <w:pPr>
        <w:pStyle w:val="NormalWeb"/>
        <w:spacing w:before="0" w:beforeAutospacing="0" w:after="0" w:afterAutospacing="0" w:line="312" w:lineRule="auto"/>
        <w:jc w:val="center"/>
        <w:rPr>
          <w:rFonts w:cs="Arial"/>
          <w:b/>
          <w:sz w:val="22"/>
          <w:szCs w:val="22"/>
        </w:rPr>
      </w:pPr>
      <w:r>
        <w:rPr>
          <w:rStyle w:val="Forte"/>
          <w:rFonts w:ascii="Century Gothic" w:hAnsi="Century Gothic"/>
          <w:b w:val="0"/>
          <w:sz w:val="22"/>
          <w:szCs w:val="22"/>
        </w:rPr>
        <w:t>Prefeito Municipal</w:t>
      </w:r>
    </w:p>
    <w:p w:rsidR="00812619" w:rsidRPr="00280251" w:rsidRDefault="00812619" w:rsidP="00812619"/>
    <w:p w:rsidR="002A2B8E" w:rsidRPr="00812619" w:rsidRDefault="002A2B8E" w:rsidP="00812619"/>
    <w:sectPr w:rsidR="002A2B8E" w:rsidRPr="00812619" w:rsidSect="000E0FB6">
      <w:headerReference w:type="default" r:id="rId9"/>
      <w:footerReference w:type="default" r:id="rId10"/>
      <w:pgSz w:w="11906" w:h="16838" w:code="9"/>
      <w:pgMar w:top="851" w:right="1134" w:bottom="1418" w:left="1701" w:header="142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833" w:rsidRDefault="00501833" w:rsidP="00334C62">
      <w:pPr>
        <w:spacing w:after="0" w:line="240" w:lineRule="auto"/>
      </w:pPr>
      <w:r>
        <w:separator/>
      </w:r>
    </w:p>
  </w:endnote>
  <w:endnote w:type="continuationSeparator" w:id="0">
    <w:p w:rsidR="00501833" w:rsidRDefault="00501833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FE5" w:rsidRPr="007D688A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  <w:sz w:val="20"/>
      </w:rPr>
    </w:pPr>
    <w:r w:rsidRPr="007D688A">
      <w:rPr>
        <w:rFonts w:ascii="Arial" w:hAnsi="Arial" w:cs="Arial"/>
        <w:b/>
        <w:color w:val="103826"/>
        <w:sz w:val="20"/>
      </w:rPr>
      <w:t>___________________________________________________________________</w:t>
    </w:r>
  </w:p>
  <w:p w:rsidR="00EB2FE5" w:rsidRPr="007D688A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  <w:sz w:val="20"/>
      </w:rPr>
    </w:pPr>
    <w:r w:rsidRPr="007D688A">
      <w:rPr>
        <w:rFonts w:ascii="Arial" w:hAnsi="Arial" w:cs="Arial"/>
        <w:b/>
        <w:color w:val="103826"/>
        <w:sz w:val="20"/>
      </w:rPr>
      <w:t xml:space="preserve">Rua Moisés </w:t>
    </w:r>
    <w:proofErr w:type="spellStart"/>
    <w:r w:rsidRPr="007D688A">
      <w:rPr>
        <w:rFonts w:ascii="Arial" w:hAnsi="Arial" w:cs="Arial"/>
        <w:b/>
        <w:color w:val="103826"/>
        <w:sz w:val="20"/>
      </w:rPr>
      <w:t>Lupion</w:t>
    </w:r>
    <w:proofErr w:type="spellEnd"/>
    <w:r w:rsidRPr="007D688A">
      <w:rPr>
        <w:rFonts w:ascii="Arial" w:hAnsi="Arial" w:cs="Arial"/>
        <w:b/>
        <w:color w:val="103826"/>
        <w:sz w:val="20"/>
      </w:rPr>
      <w:t xml:space="preserve">, 1001 – Centro – CEP 85270-000 – Palmital – </w:t>
    </w:r>
    <w:proofErr w:type="gramStart"/>
    <w:r w:rsidRPr="007D688A">
      <w:rPr>
        <w:rFonts w:ascii="Arial" w:hAnsi="Arial" w:cs="Arial"/>
        <w:b/>
        <w:color w:val="103826"/>
        <w:sz w:val="20"/>
      </w:rPr>
      <w:t>PR</w:t>
    </w:r>
    <w:proofErr w:type="gramEnd"/>
  </w:p>
  <w:p w:rsidR="007D688A" w:rsidRPr="007D688A" w:rsidRDefault="00EB2FE5" w:rsidP="007D688A">
    <w:pPr>
      <w:pStyle w:val="Rodap"/>
      <w:jc w:val="center"/>
      <w:rPr>
        <w:sz w:val="20"/>
      </w:rPr>
    </w:pPr>
    <w:r w:rsidRPr="007D688A">
      <w:rPr>
        <w:rFonts w:ascii="Arial" w:hAnsi="Arial" w:cs="Arial"/>
        <w:b/>
        <w:color w:val="103826"/>
        <w:sz w:val="20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833" w:rsidRDefault="00501833" w:rsidP="00334C62">
      <w:pPr>
        <w:spacing w:after="0" w:line="240" w:lineRule="auto"/>
      </w:pPr>
      <w:r>
        <w:separator/>
      </w:r>
    </w:p>
  </w:footnote>
  <w:footnote w:type="continuationSeparator" w:id="0">
    <w:p w:rsidR="00501833" w:rsidRDefault="00501833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C62" w:rsidRPr="00EB2FE5" w:rsidRDefault="000E0FB6" w:rsidP="00334C62">
    <w:pPr>
      <w:pStyle w:val="Cabealho"/>
      <w:rPr>
        <w:color w:val="215868" w:themeColor="accent5" w:themeShade="80"/>
      </w:rPr>
    </w:pPr>
    <w:r>
      <w:rPr>
        <w:noProof/>
        <w:lang w:eastAsia="pt-BR"/>
      </w:rPr>
      <w:drawing>
        <wp:inline distT="0" distB="0" distL="0" distR="0" wp14:anchorId="00539E04" wp14:editId="22E1A06C">
          <wp:extent cx="5753100" cy="126682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E53D05"/>
    <w:multiLevelType w:val="hybridMultilevel"/>
    <w:tmpl w:val="AC9E97EA"/>
    <w:lvl w:ilvl="0" w:tplc="4C4C504A">
      <w:start w:val="1"/>
      <w:numFmt w:val="lowerRoman"/>
      <w:lvlText w:val="(%1)"/>
      <w:lvlJc w:val="left"/>
      <w:pPr>
        <w:ind w:left="1080" w:hanging="72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8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9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1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5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6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8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4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5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8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0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29"/>
  </w:num>
  <w:num w:numId="4">
    <w:abstractNumId w:val="14"/>
  </w:num>
  <w:num w:numId="5">
    <w:abstractNumId w:val="22"/>
  </w:num>
  <w:num w:numId="6">
    <w:abstractNumId w:val="25"/>
  </w:num>
  <w:num w:numId="7">
    <w:abstractNumId w:val="3"/>
  </w:num>
  <w:num w:numId="8">
    <w:abstractNumId w:val="5"/>
  </w:num>
  <w:num w:numId="9">
    <w:abstractNumId w:val="23"/>
    <w:lvlOverride w:ilvl="0">
      <w:startOverride w:val="1"/>
    </w:lvlOverride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30"/>
  </w:num>
  <w:num w:numId="13">
    <w:abstractNumId w:val="11"/>
  </w:num>
  <w:num w:numId="14">
    <w:abstractNumId w:val="24"/>
  </w:num>
  <w:num w:numId="15">
    <w:abstractNumId w:val="13"/>
  </w:num>
  <w:num w:numId="16">
    <w:abstractNumId w:val="15"/>
  </w:num>
  <w:num w:numId="17">
    <w:abstractNumId w:val="18"/>
  </w:num>
  <w:num w:numId="18">
    <w:abstractNumId w:val="10"/>
  </w:num>
  <w:num w:numId="19">
    <w:abstractNumId w:val="19"/>
  </w:num>
  <w:num w:numId="20">
    <w:abstractNumId w:val="4"/>
  </w:num>
  <w:num w:numId="21">
    <w:abstractNumId w:val="8"/>
  </w:num>
  <w:num w:numId="22">
    <w:abstractNumId w:val="28"/>
  </w:num>
  <w:num w:numId="23">
    <w:abstractNumId w:val="16"/>
  </w:num>
  <w:num w:numId="24">
    <w:abstractNumId w:val="17"/>
  </w:num>
  <w:num w:numId="25">
    <w:abstractNumId w:val="1"/>
  </w:num>
  <w:num w:numId="26">
    <w:abstractNumId w:val="26"/>
  </w:num>
  <w:num w:numId="27">
    <w:abstractNumId w:val="7"/>
  </w:num>
  <w:num w:numId="28">
    <w:abstractNumId w:val="9"/>
  </w:num>
  <w:num w:numId="29">
    <w:abstractNumId w:val="27"/>
  </w:num>
  <w:num w:numId="30">
    <w:abstractNumId w:val="6"/>
  </w:num>
  <w:num w:numId="31">
    <w:abstractNumId w:val="21"/>
  </w:num>
  <w:num w:numId="32">
    <w:abstractNumId w:val="0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C62"/>
    <w:rsid w:val="00015736"/>
    <w:rsid w:val="00020C9D"/>
    <w:rsid w:val="000318A7"/>
    <w:rsid w:val="000329FF"/>
    <w:rsid w:val="00033349"/>
    <w:rsid w:val="00037EF3"/>
    <w:rsid w:val="00041A8E"/>
    <w:rsid w:val="00060DA7"/>
    <w:rsid w:val="00087551"/>
    <w:rsid w:val="000A2604"/>
    <w:rsid w:val="000C5AFE"/>
    <w:rsid w:val="000E0EF2"/>
    <w:rsid w:val="000E0FB6"/>
    <w:rsid w:val="000F0B29"/>
    <w:rsid w:val="000F3288"/>
    <w:rsid w:val="001037A9"/>
    <w:rsid w:val="0011247B"/>
    <w:rsid w:val="00120A31"/>
    <w:rsid w:val="00134E33"/>
    <w:rsid w:val="00135D4E"/>
    <w:rsid w:val="00141D27"/>
    <w:rsid w:val="00155B06"/>
    <w:rsid w:val="00156C99"/>
    <w:rsid w:val="00171D77"/>
    <w:rsid w:val="00194462"/>
    <w:rsid w:val="001B4F27"/>
    <w:rsid w:val="001B5778"/>
    <w:rsid w:val="001C4C65"/>
    <w:rsid w:val="001D009F"/>
    <w:rsid w:val="001E24AB"/>
    <w:rsid w:val="001E78B9"/>
    <w:rsid w:val="001F3223"/>
    <w:rsid w:val="001F7C3B"/>
    <w:rsid w:val="0020025D"/>
    <w:rsid w:val="0020267A"/>
    <w:rsid w:val="002154F6"/>
    <w:rsid w:val="00231CAC"/>
    <w:rsid w:val="0023461D"/>
    <w:rsid w:val="00236627"/>
    <w:rsid w:val="0023700B"/>
    <w:rsid w:val="00246521"/>
    <w:rsid w:val="002654DC"/>
    <w:rsid w:val="00270943"/>
    <w:rsid w:val="00276093"/>
    <w:rsid w:val="002875C1"/>
    <w:rsid w:val="00287DC5"/>
    <w:rsid w:val="002978CF"/>
    <w:rsid w:val="002A2B8E"/>
    <w:rsid w:val="002A7B33"/>
    <w:rsid w:val="002B61F5"/>
    <w:rsid w:val="002D61DE"/>
    <w:rsid w:val="002F0B83"/>
    <w:rsid w:val="00317CB5"/>
    <w:rsid w:val="00330686"/>
    <w:rsid w:val="0033197F"/>
    <w:rsid w:val="00332838"/>
    <w:rsid w:val="00334C62"/>
    <w:rsid w:val="00341012"/>
    <w:rsid w:val="00351E56"/>
    <w:rsid w:val="003716BD"/>
    <w:rsid w:val="00376B4C"/>
    <w:rsid w:val="003771B2"/>
    <w:rsid w:val="00382D46"/>
    <w:rsid w:val="0038539C"/>
    <w:rsid w:val="003D2E11"/>
    <w:rsid w:val="003E1023"/>
    <w:rsid w:val="003F4F45"/>
    <w:rsid w:val="003F524B"/>
    <w:rsid w:val="00406471"/>
    <w:rsid w:val="004248DF"/>
    <w:rsid w:val="00433E32"/>
    <w:rsid w:val="00450593"/>
    <w:rsid w:val="00455E9E"/>
    <w:rsid w:val="00457439"/>
    <w:rsid w:val="00461785"/>
    <w:rsid w:val="00492667"/>
    <w:rsid w:val="004A19D4"/>
    <w:rsid w:val="004B47A2"/>
    <w:rsid w:val="004C5E39"/>
    <w:rsid w:val="004D4386"/>
    <w:rsid w:val="004D78FD"/>
    <w:rsid w:val="004E4A32"/>
    <w:rsid w:val="004E55EB"/>
    <w:rsid w:val="004E6842"/>
    <w:rsid w:val="004F121F"/>
    <w:rsid w:val="004F1C9F"/>
    <w:rsid w:val="00501833"/>
    <w:rsid w:val="005020A6"/>
    <w:rsid w:val="00502E49"/>
    <w:rsid w:val="0050362B"/>
    <w:rsid w:val="005238DD"/>
    <w:rsid w:val="00526EE4"/>
    <w:rsid w:val="0054119B"/>
    <w:rsid w:val="00587407"/>
    <w:rsid w:val="00591014"/>
    <w:rsid w:val="005A3076"/>
    <w:rsid w:val="005A7CF2"/>
    <w:rsid w:val="005B210D"/>
    <w:rsid w:val="005D0CCD"/>
    <w:rsid w:val="005D5095"/>
    <w:rsid w:val="005D58AD"/>
    <w:rsid w:val="005D5D8D"/>
    <w:rsid w:val="005F7EAD"/>
    <w:rsid w:val="005F7EC7"/>
    <w:rsid w:val="00603B33"/>
    <w:rsid w:val="006219FE"/>
    <w:rsid w:val="006316CE"/>
    <w:rsid w:val="00643598"/>
    <w:rsid w:val="0064396F"/>
    <w:rsid w:val="00644AB6"/>
    <w:rsid w:val="006471DA"/>
    <w:rsid w:val="00647B7E"/>
    <w:rsid w:val="00652FAC"/>
    <w:rsid w:val="006559C0"/>
    <w:rsid w:val="006602E1"/>
    <w:rsid w:val="00663E24"/>
    <w:rsid w:val="0067147F"/>
    <w:rsid w:val="006716DF"/>
    <w:rsid w:val="0067319D"/>
    <w:rsid w:val="00685073"/>
    <w:rsid w:val="0069166B"/>
    <w:rsid w:val="00694983"/>
    <w:rsid w:val="006A0847"/>
    <w:rsid w:val="006A3633"/>
    <w:rsid w:val="006B09A1"/>
    <w:rsid w:val="006F60EE"/>
    <w:rsid w:val="006F668E"/>
    <w:rsid w:val="007013BE"/>
    <w:rsid w:val="007147E5"/>
    <w:rsid w:val="00734553"/>
    <w:rsid w:val="007348A2"/>
    <w:rsid w:val="007428E6"/>
    <w:rsid w:val="00751DCA"/>
    <w:rsid w:val="007722F9"/>
    <w:rsid w:val="00773007"/>
    <w:rsid w:val="00774652"/>
    <w:rsid w:val="007A3F0D"/>
    <w:rsid w:val="007B022F"/>
    <w:rsid w:val="007C4DC0"/>
    <w:rsid w:val="007D688A"/>
    <w:rsid w:val="007E1CA4"/>
    <w:rsid w:val="007F38F0"/>
    <w:rsid w:val="00810BDE"/>
    <w:rsid w:val="00812619"/>
    <w:rsid w:val="008176AC"/>
    <w:rsid w:val="00827841"/>
    <w:rsid w:val="00837E21"/>
    <w:rsid w:val="008442FD"/>
    <w:rsid w:val="0085582F"/>
    <w:rsid w:val="00872672"/>
    <w:rsid w:val="00893B6D"/>
    <w:rsid w:val="00897986"/>
    <w:rsid w:val="008A43A6"/>
    <w:rsid w:val="008A43FE"/>
    <w:rsid w:val="008A73F5"/>
    <w:rsid w:val="008B17EF"/>
    <w:rsid w:val="008C107A"/>
    <w:rsid w:val="008C5085"/>
    <w:rsid w:val="008C62B0"/>
    <w:rsid w:val="008C6CCB"/>
    <w:rsid w:val="008D10A1"/>
    <w:rsid w:val="00903183"/>
    <w:rsid w:val="00911D18"/>
    <w:rsid w:val="00933E41"/>
    <w:rsid w:val="00952825"/>
    <w:rsid w:val="00953FF8"/>
    <w:rsid w:val="00971407"/>
    <w:rsid w:val="0098377D"/>
    <w:rsid w:val="009841F0"/>
    <w:rsid w:val="009A4504"/>
    <w:rsid w:val="009C521A"/>
    <w:rsid w:val="009F1CC0"/>
    <w:rsid w:val="009F490F"/>
    <w:rsid w:val="009F6C13"/>
    <w:rsid w:val="00A05306"/>
    <w:rsid w:val="00A154BF"/>
    <w:rsid w:val="00A204CC"/>
    <w:rsid w:val="00A2412A"/>
    <w:rsid w:val="00A27021"/>
    <w:rsid w:val="00A32E0C"/>
    <w:rsid w:val="00A45E03"/>
    <w:rsid w:val="00A53E80"/>
    <w:rsid w:val="00A653CD"/>
    <w:rsid w:val="00A72EDD"/>
    <w:rsid w:val="00AA18B4"/>
    <w:rsid w:val="00AA38EF"/>
    <w:rsid w:val="00AB7B9C"/>
    <w:rsid w:val="00AC1342"/>
    <w:rsid w:val="00AC6AE2"/>
    <w:rsid w:val="00AD2FA0"/>
    <w:rsid w:val="00AE4846"/>
    <w:rsid w:val="00AE7025"/>
    <w:rsid w:val="00AF6AE9"/>
    <w:rsid w:val="00AF6BF4"/>
    <w:rsid w:val="00B12D00"/>
    <w:rsid w:val="00B20C01"/>
    <w:rsid w:val="00B21677"/>
    <w:rsid w:val="00B27280"/>
    <w:rsid w:val="00B51B9A"/>
    <w:rsid w:val="00B702F9"/>
    <w:rsid w:val="00B80389"/>
    <w:rsid w:val="00B9342A"/>
    <w:rsid w:val="00B94576"/>
    <w:rsid w:val="00BA0654"/>
    <w:rsid w:val="00BA2732"/>
    <w:rsid w:val="00BB62E8"/>
    <w:rsid w:val="00BD3C07"/>
    <w:rsid w:val="00BD3E7D"/>
    <w:rsid w:val="00BD5732"/>
    <w:rsid w:val="00BE04C9"/>
    <w:rsid w:val="00BE5488"/>
    <w:rsid w:val="00C0276F"/>
    <w:rsid w:val="00C03529"/>
    <w:rsid w:val="00C077A2"/>
    <w:rsid w:val="00C1608E"/>
    <w:rsid w:val="00C45A95"/>
    <w:rsid w:val="00C57189"/>
    <w:rsid w:val="00C57DF2"/>
    <w:rsid w:val="00C70569"/>
    <w:rsid w:val="00C71CA1"/>
    <w:rsid w:val="00C7477C"/>
    <w:rsid w:val="00C911AD"/>
    <w:rsid w:val="00C92C39"/>
    <w:rsid w:val="00C93856"/>
    <w:rsid w:val="00C93988"/>
    <w:rsid w:val="00CA6E7D"/>
    <w:rsid w:val="00CC3975"/>
    <w:rsid w:val="00CD70C3"/>
    <w:rsid w:val="00CE2684"/>
    <w:rsid w:val="00D01AE6"/>
    <w:rsid w:val="00D10C0F"/>
    <w:rsid w:val="00D13415"/>
    <w:rsid w:val="00D201E3"/>
    <w:rsid w:val="00D23C5F"/>
    <w:rsid w:val="00D241B1"/>
    <w:rsid w:val="00D33FB9"/>
    <w:rsid w:val="00D3580C"/>
    <w:rsid w:val="00D409FF"/>
    <w:rsid w:val="00D46EE0"/>
    <w:rsid w:val="00D51674"/>
    <w:rsid w:val="00D568B8"/>
    <w:rsid w:val="00D615EE"/>
    <w:rsid w:val="00D622FE"/>
    <w:rsid w:val="00D66164"/>
    <w:rsid w:val="00D760FC"/>
    <w:rsid w:val="00D86F49"/>
    <w:rsid w:val="00D9079D"/>
    <w:rsid w:val="00D93677"/>
    <w:rsid w:val="00DA413C"/>
    <w:rsid w:val="00DB5539"/>
    <w:rsid w:val="00DC0A65"/>
    <w:rsid w:val="00DD0233"/>
    <w:rsid w:val="00DD20C2"/>
    <w:rsid w:val="00DF0091"/>
    <w:rsid w:val="00DF57AD"/>
    <w:rsid w:val="00E0141A"/>
    <w:rsid w:val="00E04B10"/>
    <w:rsid w:val="00E10B0E"/>
    <w:rsid w:val="00E276F4"/>
    <w:rsid w:val="00E41912"/>
    <w:rsid w:val="00E53141"/>
    <w:rsid w:val="00E60DA9"/>
    <w:rsid w:val="00E65266"/>
    <w:rsid w:val="00E66A6C"/>
    <w:rsid w:val="00E6729E"/>
    <w:rsid w:val="00E813E4"/>
    <w:rsid w:val="00E91D4A"/>
    <w:rsid w:val="00EB2FE5"/>
    <w:rsid w:val="00EB306A"/>
    <w:rsid w:val="00ED5673"/>
    <w:rsid w:val="00EE35BC"/>
    <w:rsid w:val="00EF0B98"/>
    <w:rsid w:val="00EF39E1"/>
    <w:rsid w:val="00EF4E92"/>
    <w:rsid w:val="00F02A94"/>
    <w:rsid w:val="00F116C0"/>
    <w:rsid w:val="00F24461"/>
    <w:rsid w:val="00F24FF3"/>
    <w:rsid w:val="00F72908"/>
    <w:rsid w:val="00F814AD"/>
    <w:rsid w:val="00F84281"/>
    <w:rsid w:val="00FA21F9"/>
    <w:rsid w:val="00FB28F0"/>
    <w:rsid w:val="00FB2AF5"/>
    <w:rsid w:val="00FC216A"/>
    <w:rsid w:val="00FC41F7"/>
    <w:rsid w:val="00FD0D41"/>
    <w:rsid w:val="00FE1835"/>
    <w:rsid w:val="00FE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uiPriority w:val="99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val="x-none"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val="x-none"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uiPriority w:val="99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val="x-none"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val="x-none"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8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52D0A-A9B6-4326-A015-79D199FBB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543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Danilo</cp:lastModifiedBy>
  <cp:revision>4</cp:revision>
  <cp:lastPrinted>2021-04-13T18:56:00Z</cp:lastPrinted>
  <dcterms:created xsi:type="dcterms:W3CDTF">2023-06-13T17:47:00Z</dcterms:created>
  <dcterms:modified xsi:type="dcterms:W3CDTF">2023-06-13T18:33:00Z</dcterms:modified>
</cp:coreProperties>
</file>